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8FA2" w14:textId="4BB87B1E" w:rsidR="0098013B" w:rsidRDefault="0098013B" w:rsidP="00A16B9B">
      <w:pPr>
        <w:tabs>
          <w:tab w:val="left" w:pos="2655"/>
        </w:tabs>
        <w:rPr>
          <w:rFonts w:eastAsia="Calibri" w:cs="Arial"/>
          <w:b/>
          <w:sz w:val="22"/>
          <w:szCs w:val="22"/>
          <w:lang w:eastAsia="en-US"/>
        </w:rPr>
      </w:pPr>
      <w:bookmarkStart w:id="0" w:name="_Hlk31029428"/>
      <w:r>
        <w:rPr>
          <w:rFonts w:cs="Arial"/>
          <w:noProof/>
          <w:sz w:val="22"/>
          <w:szCs w:val="22"/>
        </w:rPr>
        <w:drawing>
          <wp:inline distT="0" distB="0" distL="0" distR="0" wp14:anchorId="7F580C3B" wp14:editId="6FDA2792">
            <wp:extent cx="5756910" cy="7715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A6A3C" w14:textId="62D6558B" w:rsidR="00A16B9B" w:rsidRPr="00A16B9B" w:rsidRDefault="00A16B9B" w:rsidP="00A16B9B">
      <w:pPr>
        <w:tabs>
          <w:tab w:val="left" w:pos="2655"/>
        </w:tabs>
        <w:rPr>
          <w:rFonts w:eastAsia="Calibri" w:cs="Arial"/>
          <w:b/>
          <w:sz w:val="22"/>
          <w:szCs w:val="22"/>
          <w:lang w:eastAsia="en-US"/>
        </w:rPr>
      </w:pPr>
      <w:r w:rsidRPr="00A16B9B">
        <w:rPr>
          <w:rFonts w:eastAsia="Calibri" w:cs="Arial"/>
          <w:b/>
          <w:sz w:val="22"/>
          <w:szCs w:val="22"/>
          <w:lang w:eastAsia="en-US"/>
        </w:rPr>
        <w:t>УТВЪРЖДАВАМ,</w:t>
      </w:r>
    </w:p>
    <w:p w14:paraId="212A6BD8" w14:textId="77777777" w:rsidR="00A16B9B" w:rsidRPr="00A16B9B" w:rsidRDefault="00A16B9B" w:rsidP="00A16B9B">
      <w:pPr>
        <w:tabs>
          <w:tab w:val="left" w:pos="2655"/>
        </w:tabs>
        <w:rPr>
          <w:rFonts w:eastAsia="Calibri" w:cs="Arial"/>
          <w:b/>
          <w:sz w:val="22"/>
          <w:szCs w:val="22"/>
          <w:lang w:eastAsia="en-US"/>
        </w:rPr>
      </w:pPr>
      <w:r w:rsidRPr="00A16B9B">
        <w:rPr>
          <w:rFonts w:eastAsia="Calibri" w:cs="Arial"/>
          <w:b/>
          <w:sz w:val="22"/>
          <w:szCs w:val="22"/>
          <w:lang w:eastAsia="en-US"/>
        </w:rPr>
        <w:t>УПРАВИТЕЛ</w:t>
      </w:r>
    </w:p>
    <w:p w14:paraId="73781475" w14:textId="3023E185" w:rsidR="00A16B9B" w:rsidRPr="00AA33EB" w:rsidRDefault="00A16B9B" w:rsidP="00A16B9B">
      <w:pPr>
        <w:tabs>
          <w:tab w:val="left" w:pos="2655"/>
        </w:tabs>
        <w:rPr>
          <w:rFonts w:eastAsia="Calibri" w:cs="Arial"/>
          <w:b/>
          <w:sz w:val="22"/>
          <w:szCs w:val="22"/>
          <w:lang w:val="en-US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СИВЕЛИН СИВОВ</w:t>
      </w:r>
    </w:p>
    <w:p w14:paraId="60B5C849" w14:textId="51546BBA" w:rsidR="00A16B9B" w:rsidRPr="00A16B9B" w:rsidRDefault="00A16B9B" w:rsidP="00A16B9B">
      <w:pPr>
        <w:tabs>
          <w:tab w:val="left" w:pos="2655"/>
        </w:tabs>
        <w:rPr>
          <w:rFonts w:eastAsia="Calibri" w:cs="Arial"/>
          <w:b/>
          <w:sz w:val="22"/>
          <w:szCs w:val="22"/>
          <w:lang w:eastAsia="en-US"/>
        </w:rPr>
      </w:pPr>
      <w:r w:rsidRPr="00A16B9B">
        <w:rPr>
          <w:rFonts w:eastAsia="Calibri" w:cs="Arial"/>
          <w:b/>
          <w:sz w:val="22"/>
          <w:szCs w:val="22"/>
          <w:lang w:eastAsia="en-US"/>
        </w:rPr>
        <w:t>……………………….202</w:t>
      </w:r>
      <w:r w:rsidR="00E04B78">
        <w:rPr>
          <w:rFonts w:eastAsia="Calibri" w:cs="Arial"/>
          <w:b/>
          <w:sz w:val="22"/>
          <w:szCs w:val="22"/>
          <w:lang w:eastAsia="en-US"/>
        </w:rPr>
        <w:t>3</w:t>
      </w:r>
    </w:p>
    <w:bookmarkEnd w:id="0"/>
    <w:p w14:paraId="7DD1E07E" w14:textId="5498FC23" w:rsidR="007B7E66" w:rsidRPr="00A16B9B" w:rsidRDefault="007B7E66" w:rsidP="005F5DE5">
      <w:pPr>
        <w:tabs>
          <w:tab w:val="left" w:pos="2655"/>
        </w:tabs>
        <w:rPr>
          <w:rFonts w:eastAsia="Calibri" w:cs="Arial"/>
          <w:b/>
          <w:sz w:val="22"/>
          <w:szCs w:val="22"/>
          <w:lang w:eastAsia="en-US"/>
        </w:rPr>
      </w:pPr>
    </w:p>
    <w:p w14:paraId="0C0DB32B" w14:textId="77777777" w:rsidR="001B1ABD" w:rsidRDefault="001B1ABD" w:rsidP="005F5DE5">
      <w:pPr>
        <w:tabs>
          <w:tab w:val="left" w:pos="2655"/>
        </w:tabs>
        <w:rPr>
          <w:rFonts w:cs="Arial"/>
          <w:sz w:val="24"/>
          <w:szCs w:val="24"/>
          <w:lang w:eastAsia="en-US"/>
        </w:rPr>
      </w:pPr>
    </w:p>
    <w:p w14:paraId="6D52A889" w14:textId="77777777" w:rsidR="000F3823" w:rsidRPr="000F3823" w:rsidRDefault="000F3823" w:rsidP="00AE6D90">
      <w:pPr>
        <w:tabs>
          <w:tab w:val="left" w:pos="2655"/>
        </w:tabs>
        <w:spacing w:line="360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0F3823">
        <w:rPr>
          <w:rFonts w:eastAsia="Calibri" w:cs="Arial"/>
          <w:b/>
          <w:sz w:val="22"/>
          <w:szCs w:val="22"/>
          <w:lang w:eastAsia="en-US"/>
        </w:rPr>
        <w:t>ТЕХНИЧЕСКА СПЕЦИФИКАЦИЯ</w:t>
      </w:r>
    </w:p>
    <w:p w14:paraId="32DE6506" w14:textId="00F1C659" w:rsidR="000F3823" w:rsidRDefault="000F3823" w:rsidP="001B1ABD">
      <w:pPr>
        <w:tabs>
          <w:tab w:val="left" w:pos="2655"/>
        </w:tabs>
        <w:jc w:val="center"/>
        <w:rPr>
          <w:rFonts w:eastAsia="Calibri" w:cs="Arial"/>
          <w:sz w:val="22"/>
          <w:szCs w:val="22"/>
          <w:lang w:eastAsia="en-US"/>
        </w:rPr>
      </w:pPr>
      <w:r w:rsidRPr="000F3823">
        <w:rPr>
          <w:rFonts w:eastAsia="Calibri" w:cs="Arial"/>
          <w:sz w:val="22"/>
          <w:szCs w:val="22"/>
          <w:lang w:eastAsia="en-US"/>
        </w:rPr>
        <w:t xml:space="preserve">за </w:t>
      </w:r>
      <w:r w:rsidR="00D35361">
        <w:rPr>
          <w:rFonts w:eastAsia="Calibri" w:cs="Arial"/>
          <w:sz w:val="22"/>
          <w:szCs w:val="22"/>
          <w:lang w:eastAsia="en-US"/>
        </w:rPr>
        <w:t>услуга</w:t>
      </w:r>
    </w:p>
    <w:p w14:paraId="55D28216" w14:textId="77777777" w:rsidR="009E7CFC" w:rsidRPr="000F3823" w:rsidRDefault="009E7CFC" w:rsidP="00921568">
      <w:pPr>
        <w:tabs>
          <w:tab w:val="left" w:pos="2655"/>
        </w:tabs>
        <w:rPr>
          <w:rFonts w:eastAsia="Calibri" w:cs="Arial"/>
          <w:sz w:val="22"/>
          <w:szCs w:val="22"/>
          <w:lang w:eastAsia="en-US"/>
        </w:rPr>
      </w:pPr>
    </w:p>
    <w:p w14:paraId="1F58E60E" w14:textId="6D421C11" w:rsidR="008923E1" w:rsidRPr="0053328E" w:rsidRDefault="000F3823" w:rsidP="008923E1">
      <w:pPr>
        <w:jc w:val="both"/>
        <w:rPr>
          <w:rFonts w:cs="Arial"/>
          <w:b/>
          <w:sz w:val="22"/>
          <w:szCs w:val="22"/>
        </w:rPr>
      </w:pPr>
      <w:r w:rsidRPr="000F3823">
        <w:rPr>
          <w:rFonts w:eastAsia="Calibri" w:cs="Arial"/>
          <w:b/>
          <w:sz w:val="22"/>
          <w:szCs w:val="22"/>
          <w:lang w:eastAsia="en-US"/>
        </w:rPr>
        <w:t xml:space="preserve">ОТНОСНО: </w:t>
      </w:r>
      <w:r w:rsidR="00AD10B0" w:rsidRPr="0053328E">
        <w:rPr>
          <w:rFonts w:cs="Arial"/>
          <w:bCs/>
          <w:sz w:val="22"/>
          <w:szCs w:val="22"/>
        </w:rPr>
        <w:t>ПАВЕЦ "Чаира" - Обследване и анализ на техническото състояние на маслонапълнен кабел 400 kV</w:t>
      </w:r>
    </w:p>
    <w:p w14:paraId="387AF602" w14:textId="77777777" w:rsidR="00921568" w:rsidRPr="000F3823" w:rsidRDefault="00921568" w:rsidP="00D21F52">
      <w:pPr>
        <w:rPr>
          <w:rFonts w:eastAsia="Calibri" w:cs="Arial"/>
          <w:sz w:val="22"/>
          <w:szCs w:val="22"/>
          <w:lang w:eastAsia="en-US"/>
        </w:rPr>
      </w:pPr>
    </w:p>
    <w:p w14:paraId="7C9D855C" w14:textId="380E6194" w:rsidR="000F3823" w:rsidRPr="00586D5F" w:rsidRDefault="000F3823" w:rsidP="00586D5F">
      <w:pPr>
        <w:pStyle w:val="ListParagraph"/>
        <w:numPr>
          <w:ilvl w:val="0"/>
          <w:numId w:val="35"/>
        </w:numPr>
        <w:spacing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586D5F">
        <w:rPr>
          <w:rFonts w:eastAsia="Calibri" w:cs="Arial"/>
          <w:b/>
          <w:sz w:val="22"/>
          <w:szCs w:val="22"/>
          <w:lang w:val="x-none" w:eastAsia="en-US"/>
        </w:rPr>
        <w:t>ВЪВЕДЕНИЕ</w:t>
      </w:r>
    </w:p>
    <w:p w14:paraId="1476AF96" w14:textId="77777777" w:rsidR="00CC6CC8" w:rsidRPr="000F3823" w:rsidRDefault="00CC6CC8" w:rsidP="001B1ABD">
      <w:pPr>
        <w:spacing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</w:p>
    <w:p w14:paraId="793ADB16" w14:textId="328874DE" w:rsidR="00FB44B1" w:rsidRPr="00586D5F" w:rsidRDefault="00FB44B1" w:rsidP="00311D56">
      <w:p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 xml:space="preserve">ПАВЕЦ “Чаира” е подземна електроцентрала в североизточния дял на най-високата планина в България - Рила. С генераторна мощност 864 MW и помпена 788 MW, ПАВЕЦ „Чаира“ е най-голямата помпено-акумулираща централа в югоизточна Европа. В </w:t>
      </w:r>
      <w:r w:rsidR="0070207E" w:rsidRPr="00586D5F">
        <w:rPr>
          <w:rFonts w:cs="Arial"/>
          <w:bCs/>
          <w:sz w:val="22"/>
          <w:szCs w:val="22"/>
        </w:rPr>
        <w:t xml:space="preserve">подземната част на </w:t>
      </w:r>
      <w:r w:rsidRPr="00586D5F">
        <w:rPr>
          <w:rFonts w:cs="Arial"/>
          <w:bCs/>
          <w:sz w:val="22"/>
          <w:szCs w:val="22"/>
        </w:rPr>
        <w:t>централата са монтирани четири едностъпални агрегата,</w:t>
      </w:r>
      <w:r w:rsidR="00550F21" w:rsidRPr="00586D5F">
        <w:rPr>
          <w:rFonts w:cs="Arial"/>
          <w:bCs/>
          <w:sz w:val="22"/>
          <w:szCs w:val="22"/>
        </w:rPr>
        <w:t xml:space="preserve"> с помп</w:t>
      </w:r>
      <w:r w:rsidR="00BF6282" w:rsidRPr="00586D5F">
        <w:rPr>
          <w:rFonts w:cs="Arial"/>
          <w:bCs/>
          <w:sz w:val="22"/>
          <w:szCs w:val="22"/>
        </w:rPr>
        <w:t>о</w:t>
      </w:r>
      <w:r w:rsidR="00550F21" w:rsidRPr="00586D5F">
        <w:rPr>
          <w:rFonts w:cs="Arial"/>
          <w:bCs/>
          <w:sz w:val="22"/>
          <w:szCs w:val="22"/>
        </w:rPr>
        <w:t xml:space="preserve">турбини тип „Францис”, </w:t>
      </w:r>
      <w:r w:rsidRPr="00586D5F">
        <w:rPr>
          <w:rFonts w:cs="Arial"/>
          <w:bCs/>
          <w:sz w:val="22"/>
          <w:szCs w:val="22"/>
        </w:rPr>
        <w:t xml:space="preserve"> всеки с мощност по 216 MW в генераторен и 197 MW в помпен режим</w:t>
      </w:r>
      <w:r w:rsidR="00713FB3" w:rsidRPr="00586D5F">
        <w:rPr>
          <w:rFonts w:cs="Arial"/>
          <w:bCs/>
          <w:sz w:val="22"/>
          <w:szCs w:val="22"/>
        </w:rPr>
        <w:t xml:space="preserve">, с генераторно напрежение 19 </w:t>
      </w:r>
      <w:r w:rsidR="00713FB3" w:rsidRPr="00586D5F">
        <w:rPr>
          <w:rFonts w:cs="Arial"/>
          <w:bCs/>
          <w:sz w:val="22"/>
          <w:szCs w:val="22"/>
          <w:lang w:val="en-US"/>
        </w:rPr>
        <w:t xml:space="preserve">kV. </w:t>
      </w:r>
      <w:r w:rsidR="00BF6282" w:rsidRPr="00586D5F">
        <w:rPr>
          <w:rFonts w:cs="Arial"/>
          <w:bCs/>
          <w:sz w:val="22"/>
          <w:szCs w:val="22"/>
        </w:rPr>
        <w:t xml:space="preserve">Преобразуването на генераторното напрежение в </w:t>
      </w:r>
      <w:r w:rsidR="00F57560" w:rsidRPr="00586D5F">
        <w:rPr>
          <w:rFonts w:cs="Arial"/>
          <w:bCs/>
          <w:sz w:val="22"/>
          <w:szCs w:val="22"/>
        </w:rPr>
        <w:t xml:space="preserve">подходящо напрежение за </w:t>
      </w:r>
      <w:r w:rsidR="00BF6282" w:rsidRPr="00586D5F">
        <w:rPr>
          <w:rFonts w:cs="Arial"/>
          <w:bCs/>
          <w:sz w:val="22"/>
          <w:szCs w:val="22"/>
        </w:rPr>
        <w:t xml:space="preserve">пренос става с два блочни силови </w:t>
      </w:r>
      <w:r w:rsidR="00101520" w:rsidRPr="00586D5F">
        <w:rPr>
          <w:rFonts w:cs="Arial"/>
          <w:bCs/>
          <w:sz w:val="22"/>
          <w:szCs w:val="22"/>
        </w:rPr>
        <w:t xml:space="preserve">трансформатора </w:t>
      </w:r>
      <w:r w:rsidR="00BF6282" w:rsidRPr="00586D5F">
        <w:rPr>
          <w:rFonts w:cs="Arial"/>
          <w:bCs/>
          <w:sz w:val="22"/>
          <w:szCs w:val="22"/>
        </w:rPr>
        <w:t>19/19/400 kV</w:t>
      </w:r>
      <w:r w:rsidR="00311D56" w:rsidRPr="00586D5F">
        <w:rPr>
          <w:rFonts w:cs="Arial"/>
          <w:bCs/>
          <w:sz w:val="22"/>
          <w:szCs w:val="22"/>
        </w:rPr>
        <w:t>, монтирани също в подземната част на централата</w:t>
      </w:r>
      <w:r w:rsidR="00BF6282" w:rsidRPr="00586D5F">
        <w:rPr>
          <w:rFonts w:cs="Arial"/>
          <w:bCs/>
          <w:sz w:val="22"/>
          <w:szCs w:val="22"/>
        </w:rPr>
        <w:t>. С кабели високо напрежение, преминаващи през подземна галерия, се осъществява връзката на централата</w:t>
      </w:r>
      <w:r w:rsidR="004137C1" w:rsidRPr="00586D5F">
        <w:rPr>
          <w:rFonts w:cs="Arial"/>
          <w:bCs/>
          <w:sz w:val="22"/>
          <w:szCs w:val="22"/>
        </w:rPr>
        <w:t xml:space="preserve"> </w:t>
      </w:r>
      <w:r w:rsidR="00BF6282" w:rsidRPr="00586D5F">
        <w:rPr>
          <w:rFonts w:cs="Arial"/>
          <w:bCs/>
          <w:sz w:val="22"/>
          <w:szCs w:val="22"/>
        </w:rPr>
        <w:t>с открита разпределителна уредба 400 kV, а чрез нея с ЕЕС на Република България.</w:t>
      </w:r>
    </w:p>
    <w:p w14:paraId="6A98D566" w14:textId="77777777" w:rsidR="00311D56" w:rsidRPr="00586D5F" w:rsidRDefault="00311D56" w:rsidP="00311D56">
      <w:pPr>
        <w:jc w:val="both"/>
        <w:rPr>
          <w:rFonts w:cs="Arial"/>
          <w:sz w:val="22"/>
        </w:rPr>
      </w:pPr>
    </w:p>
    <w:p w14:paraId="4BED59F0" w14:textId="5E7A2F3F" w:rsidR="000F3823" w:rsidRPr="00586D5F" w:rsidRDefault="000F3823" w:rsidP="00586D5F">
      <w:pPr>
        <w:pStyle w:val="ListParagraph"/>
        <w:numPr>
          <w:ilvl w:val="0"/>
          <w:numId w:val="35"/>
        </w:numPr>
        <w:spacing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586D5F">
        <w:rPr>
          <w:rFonts w:eastAsia="Calibri" w:cs="Arial"/>
          <w:b/>
          <w:sz w:val="22"/>
          <w:szCs w:val="22"/>
          <w:lang w:val="x-none" w:eastAsia="en-US"/>
        </w:rPr>
        <w:t>ОБХВАТ НА ОБЩЕСТВЕНАТА ПОРЪЧКА</w:t>
      </w:r>
    </w:p>
    <w:p w14:paraId="26C62AEA" w14:textId="6B8359C3" w:rsidR="004773F5" w:rsidRPr="0098013B" w:rsidRDefault="0098013B" w:rsidP="0098013B">
      <w:pPr>
        <w:jc w:val="both"/>
        <w:rPr>
          <w:rFonts w:cs="Arial"/>
          <w:bCs/>
          <w:sz w:val="22"/>
          <w:szCs w:val="22"/>
        </w:rPr>
      </w:pPr>
      <w:r w:rsidRPr="0098013B">
        <w:rPr>
          <w:rFonts w:cs="Arial"/>
          <w:b/>
          <w:sz w:val="22"/>
          <w:szCs w:val="22"/>
        </w:rPr>
        <w:t>2.1</w:t>
      </w:r>
      <w:r>
        <w:rPr>
          <w:rFonts w:cs="Arial"/>
          <w:bCs/>
          <w:sz w:val="22"/>
          <w:szCs w:val="22"/>
        </w:rPr>
        <w:t>.</w:t>
      </w:r>
      <w:r w:rsidR="004773F5" w:rsidRPr="0098013B">
        <w:rPr>
          <w:rFonts w:cs="Arial"/>
          <w:bCs/>
          <w:sz w:val="22"/>
          <w:szCs w:val="22"/>
        </w:rPr>
        <w:t>Технически преглед, електрически и високоволтови измервания на:</w:t>
      </w:r>
    </w:p>
    <w:p w14:paraId="1B691A6B" w14:textId="77777777" w:rsidR="004773F5" w:rsidRPr="00192381" w:rsidRDefault="004773F5" w:rsidP="004773F5">
      <w:pPr>
        <w:pStyle w:val="ListParagraph"/>
        <w:numPr>
          <w:ilvl w:val="0"/>
          <w:numId w:val="33"/>
        </w:numPr>
        <w:jc w:val="both"/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</w:rPr>
        <w:t xml:space="preserve">Високоволтов </w:t>
      </w:r>
      <w:r w:rsidRPr="00192381">
        <w:rPr>
          <w:rFonts w:cs="Arial"/>
          <w:bCs/>
          <w:sz w:val="22"/>
          <w:szCs w:val="22"/>
        </w:rPr>
        <w:t xml:space="preserve">маслонапълнен кабел 400 </w:t>
      </w:r>
      <w:r w:rsidRPr="00192381">
        <w:rPr>
          <w:rFonts w:cs="Arial"/>
          <w:bCs/>
          <w:sz w:val="22"/>
          <w:szCs w:val="22"/>
          <w:lang w:val="en-US"/>
        </w:rPr>
        <w:t>kV</w:t>
      </w:r>
      <w:r>
        <w:rPr>
          <w:rFonts w:cs="Arial"/>
          <w:bCs/>
          <w:sz w:val="22"/>
          <w:szCs w:val="22"/>
        </w:rPr>
        <w:t xml:space="preserve"> монтиран в кабелна галерия №1 към СТ1 400/19/19 </w:t>
      </w:r>
      <w:r>
        <w:rPr>
          <w:rFonts w:cs="Arial"/>
          <w:bCs/>
          <w:sz w:val="22"/>
          <w:szCs w:val="22"/>
          <w:lang w:val="en-US"/>
        </w:rPr>
        <w:t>kV</w:t>
      </w:r>
      <w:r w:rsidRPr="00192381">
        <w:rPr>
          <w:rFonts w:cs="Arial"/>
          <w:bCs/>
          <w:sz w:val="22"/>
          <w:szCs w:val="22"/>
        </w:rPr>
        <w:t xml:space="preserve">. </w:t>
      </w:r>
    </w:p>
    <w:p w14:paraId="2A273252" w14:textId="77777777" w:rsidR="004773F5" w:rsidRPr="00192381" w:rsidRDefault="004773F5" w:rsidP="004773F5">
      <w:pPr>
        <w:pStyle w:val="ListParagraph"/>
        <w:numPr>
          <w:ilvl w:val="0"/>
          <w:numId w:val="33"/>
        </w:numPr>
        <w:jc w:val="both"/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</w:rPr>
        <w:t xml:space="preserve">Високоволтов </w:t>
      </w:r>
      <w:r w:rsidRPr="00192381">
        <w:rPr>
          <w:rFonts w:cs="Arial"/>
          <w:bCs/>
          <w:sz w:val="22"/>
          <w:szCs w:val="22"/>
        </w:rPr>
        <w:t xml:space="preserve">маслонапълнен кабел 400 </w:t>
      </w:r>
      <w:r w:rsidRPr="00192381">
        <w:rPr>
          <w:rFonts w:cs="Arial"/>
          <w:bCs/>
          <w:sz w:val="22"/>
          <w:szCs w:val="22"/>
          <w:lang w:val="en-US"/>
        </w:rPr>
        <w:t>kV</w:t>
      </w:r>
      <w:r>
        <w:rPr>
          <w:rFonts w:cs="Arial"/>
          <w:bCs/>
          <w:sz w:val="22"/>
          <w:szCs w:val="22"/>
        </w:rPr>
        <w:t xml:space="preserve"> – 2 броя резервни, намиращи се в складова база Белово.</w:t>
      </w:r>
    </w:p>
    <w:p w14:paraId="005938D6" w14:textId="2747DD71" w:rsidR="00C674CA" w:rsidRPr="0098013B" w:rsidRDefault="0080688C" w:rsidP="0098013B">
      <w:pPr>
        <w:pStyle w:val="ListParagraph"/>
        <w:numPr>
          <w:ilvl w:val="1"/>
          <w:numId w:val="47"/>
        </w:numPr>
        <w:jc w:val="both"/>
        <w:rPr>
          <w:rFonts w:cs="Arial"/>
          <w:bCs/>
          <w:sz w:val="22"/>
          <w:szCs w:val="22"/>
        </w:rPr>
      </w:pPr>
      <w:r w:rsidRPr="0098013B">
        <w:rPr>
          <w:rFonts w:cs="Arial"/>
          <w:bCs/>
          <w:sz w:val="22"/>
          <w:szCs w:val="22"/>
        </w:rPr>
        <w:t xml:space="preserve">Анализ </w:t>
      </w:r>
      <w:r w:rsidR="006315D8" w:rsidRPr="0098013B">
        <w:rPr>
          <w:rFonts w:cs="Arial"/>
          <w:bCs/>
          <w:sz w:val="22"/>
          <w:szCs w:val="22"/>
        </w:rPr>
        <w:t xml:space="preserve">състоянието на </w:t>
      </w:r>
      <w:r w:rsidRPr="0098013B">
        <w:rPr>
          <w:rFonts w:cs="Arial"/>
          <w:bCs/>
          <w:sz w:val="22"/>
          <w:szCs w:val="22"/>
        </w:rPr>
        <w:t>кабелно</w:t>
      </w:r>
      <w:r w:rsidR="006315D8" w:rsidRPr="0098013B">
        <w:rPr>
          <w:rFonts w:cs="Arial"/>
          <w:bCs/>
          <w:sz w:val="22"/>
          <w:szCs w:val="22"/>
        </w:rPr>
        <w:t>то</w:t>
      </w:r>
      <w:r w:rsidR="00950EEA" w:rsidRPr="0098013B">
        <w:rPr>
          <w:rFonts w:cs="Arial"/>
          <w:bCs/>
          <w:sz w:val="22"/>
          <w:szCs w:val="22"/>
        </w:rPr>
        <w:t xml:space="preserve"> </w:t>
      </w:r>
      <w:r w:rsidRPr="0098013B">
        <w:rPr>
          <w:rFonts w:cs="Arial"/>
          <w:bCs/>
          <w:sz w:val="22"/>
          <w:szCs w:val="22"/>
        </w:rPr>
        <w:t>масло</w:t>
      </w:r>
      <w:r w:rsidR="006315D8" w:rsidRPr="0098013B">
        <w:rPr>
          <w:rFonts w:cs="Arial"/>
          <w:bCs/>
          <w:sz w:val="22"/>
          <w:szCs w:val="22"/>
        </w:rPr>
        <w:t xml:space="preserve"> посредством набор от изпитвания.</w:t>
      </w:r>
    </w:p>
    <w:p w14:paraId="305C3C2B" w14:textId="401376D6" w:rsidR="0089151E" w:rsidRPr="00586D5F" w:rsidRDefault="0089151E" w:rsidP="0098013B">
      <w:pPr>
        <w:pStyle w:val="ListParagraph"/>
        <w:numPr>
          <w:ilvl w:val="1"/>
          <w:numId w:val="47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 xml:space="preserve">Оценка на експлоатационното състояние и оставащия експлоатационен </w:t>
      </w:r>
      <w:r w:rsidR="00631340" w:rsidRPr="00586D5F">
        <w:rPr>
          <w:rFonts w:cs="Arial"/>
          <w:bCs/>
          <w:sz w:val="22"/>
          <w:szCs w:val="22"/>
        </w:rPr>
        <w:t>ресурс</w:t>
      </w:r>
      <w:r w:rsidRPr="00586D5F">
        <w:rPr>
          <w:rFonts w:cs="Arial"/>
          <w:bCs/>
          <w:sz w:val="22"/>
          <w:szCs w:val="22"/>
        </w:rPr>
        <w:t xml:space="preserve"> на кабела.</w:t>
      </w:r>
    </w:p>
    <w:p w14:paraId="62464539" w14:textId="7465E892" w:rsidR="0084294E" w:rsidRPr="00586D5F" w:rsidRDefault="0084294E" w:rsidP="0098013B">
      <w:pPr>
        <w:pStyle w:val="ListParagraph"/>
        <w:numPr>
          <w:ilvl w:val="1"/>
          <w:numId w:val="47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 xml:space="preserve">Изготвяне на цялостен </w:t>
      </w:r>
      <w:bookmarkStart w:id="1" w:name="_Hlk141952533"/>
      <w:r w:rsidRPr="00586D5F">
        <w:rPr>
          <w:rFonts w:cs="Arial"/>
          <w:bCs/>
          <w:sz w:val="22"/>
          <w:szCs w:val="22"/>
        </w:rPr>
        <w:t>доклад от</w:t>
      </w:r>
      <w:r w:rsidR="006315D8" w:rsidRPr="00586D5F">
        <w:rPr>
          <w:rFonts w:cs="Arial"/>
          <w:bCs/>
          <w:sz w:val="22"/>
          <w:szCs w:val="22"/>
        </w:rPr>
        <w:t xml:space="preserve"> извършеното</w:t>
      </w:r>
      <w:r w:rsidRPr="00586D5F">
        <w:rPr>
          <w:rFonts w:cs="Arial"/>
          <w:bCs/>
          <w:sz w:val="22"/>
          <w:szCs w:val="22"/>
        </w:rPr>
        <w:t xml:space="preserve"> обследване</w:t>
      </w:r>
      <w:bookmarkEnd w:id="1"/>
      <w:r w:rsidR="006315D8" w:rsidRPr="00586D5F">
        <w:rPr>
          <w:rFonts w:cs="Arial"/>
          <w:bCs/>
          <w:sz w:val="22"/>
          <w:szCs w:val="22"/>
        </w:rPr>
        <w:t>.</w:t>
      </w:r>
      <w:r w:rsidR="00C674CA" w:rsidRPr="00586D5F">
        <w:rPr>
          <w:rFonts w:cs="Arial"/>
          <w:bCs/>
          <w:sz w:val="22"/>
          <w:szCs w:val="22"/>
        </w:rPr>
        <w:t xml:space="preserve"> </w:t>
      </w:r>
    </w:p>
    <w:p w14:paraId="1BF6E21C" w14:textId="77777777" w:rsidR="005F4FDD" w:rsidRPr="003F49BC" w:rsidRDefault="005F4FDD" w:rsidP="001B1ABD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0D6A26EE" w14:textId="6CBFC985" w:rsidR="00AE1FC0" w:rsidRPr="00586D5F" w:rsidRDefault="000F3823" w:rsidP="0098013B">
      <w:pPr>
        <w:pStyle w:val="ListParagraph"/>
        <w:numPr>
          <w:ilvl w:val="0"/>
          <w:numId w:val="47"/>
        </w:numPr>
        <w:spacing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586D5F">
        <w:rPr>
          <w:rFonts w:eastAsia="Calibri" w:cs="Arial"/>
          <w:b/>
          <w:sz w:val="22"/>
          <w:szCs w:val="22"/>
          <w:lang w:val="x-none" w:eastAsia="en-US"/>
        </w:rPr>
        <w:t>СЪЩЕСТВУВАЩО ПОЛОЖЕНИ</w:t>
      </w:r>
      <w:r w:rsidR="0098013B">
        <w:rPr>
          <w:rFonts w:eastAsia="Calibri" w:cs="Arial"/>
          <w:b/>
          <w:sz w:val="22"/>
          <w:szCs w:val="22"/>
          <w:lang w:val="en-US" w:eastAsia="en-US"/>
        </w:rPr>
        <w:t>E</w:t>
      </w:r>
    </w:p>
    <w:p w14:paraId="5A78DE13" w14:textId="77777777" w:rsidR="00180DDB" w:rsidRDefault="00180DDB" w:rsidP="00AE1FC0">
      <w:pPr>
        <w:jc w:val="both"/>
        <w:rPr>
          <w:rFonts w:cs="Arial"/>
          <w:bCs/>
          <w:sz w:val="22"/>
          <w:szCs w:val="22"/>
        </w:rPr>
      </w:pPr>
    </w:p>
    <w:p w14:paraId="00E5C35C" w14:textId="16C909FF" w:rsidR="00180DDB" w:rsidRDefault="00180DDB" w:rsidP="00180DDB">
      <w:p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Силов</w:t>
      </w:r>
      <w:r w:rsidR="00586D5F" w:rsidRPr="00586D5F">
        <w:rPr>
          <w:rFonts w:cs="Arial"/>
          <w:bCs/>
          <w:sz w:val="22"/>
          <w:szCs w:val="22"/>
        </w:rPr>
        <w:t xml:space="preserve"> високоволтов</w:t>
      </w:r>
      <w:r w:rsidRPr="00586D5F">
        <w:rPr>
          <w:rFonts w:cs="Arial"/>
          <w:bCs/>
          <w:sz w:val="22"/>
          <w:szCs w:val="22"/>
        </w:rPr>
        <w:t xml:space="preserve"> кабел 400 kV маслонапълнен осъществява връзката между главен трансформатор №1 и ОРУ 400 k</w:t>
      </w:r>
      <w:r w:rsidR="00586D5F">
        <w:rPr>
          <w:rFonts w:cs="Arial"/>
          <w:bCs/>
          <w:sz w:val="22"/>
          <w:szCs w:val="22"/>
          <w:lang w:val="en-US"/>
        </w:rPr>
        <w:t>V</w:t>
      </w:r>
      <w:r w:rsidRPr="00586D5F">
        <w:rPr>
          <w:rFonts w:cs="Arial"/>
          <w:bCs/>
          <w:sz w:val="22"/>
          <w:szCs w:val="22"/>
        </w:rPr>
        <w:t xml:space="preserve"> извод “Алабак”. Всяка фаза на кабела е изпълненa с маслонaпълнени едножилни кабели окомплектовани с един брой маслозахранваща секция и  има два броя кабелни глави – една маслопотопена кабелна глава от страната  на главен трансформатор и една кабелна глава за открит монтаж в ОРУ 400 кV. Силовите кабели са положени на стоманени конзоли, анкерирани към стените на кабелна галерия. За поемане на удължението на кабелите  при работа , те са положени на принципа “Вертикална змия”. Тя е образувана, като през 3 м. конзолите са поставени с 200 мм. по високо от останалите. На тези конзоли кабелите са оставени да лежат свободно върху водеща скоба.</w:t>
      </w:r>
    </w:p>
    <w:p w14:paraId="155E33F4" w14:textId="77777777" w:rsidR="00586D5F" w:rsidRPr="00586D5F" w:rsidRDefault="00586D5F" w:rsidP="00180DDB">
      <w:pPr>
        <w:jc w:val="both"/>
        <w:rPr>
          <w:rFonts w:cs="Arial"/>
          <w:bCs/>
          <w:sz w:val="22"/>
          <w:szCs w:val="22"/>
        </w:rPr>
      </w:pPr>
    </w:p>
    <w:p w14:paraId="1255B6A2" w14:textId="3BA5EA94" w:rsidR="004773F5" w:rsidRPr="0098013B" w:rsidRDefault="00180DDB" w:rsidP="0098013B">
      <w:pPr>
        <w:pStyle w:val="ListParagraph"/>
        <w:numPr>
          <w:ilvl w:val="1"/>
          <w:numId w:val="48"/>
        </w:numPr>
        <w:jc w:val="both"/>
        <w:rPr>
          <w:rFonts w:cs="Arial"/>
          <w:bCs/>
          <w:sz w:val="22"/>
          <w:szCs w:val="22"/>
        </w:rPr>
      </w:pPr>
      <w:r w:rsidRPr="0098013B">
        <w:rPr>
          <w:rFonts w:cs="Arial"/>
          <w:bCs/>
          <w:sz w:val="22"/>
          <w:szCs w:val="22"/>
        </w:rPr>
        <w:t>Технически данни за силов кабел маслонапълнен „SHOWA“</w:t>
      </w:r>
      <w:r w:rsidR="00586D5F" w:rsidRPr="0098013B">
        <w:rPr>
          <w:rFonts w:cs="Arial"/>
          <w:bCs/>
          <w:sz w:val="22"/>
          <w:szCs w:val="22"/>
        </w:rPr>
        <w:t>,</w:t>
      </w:r>
      <w:r w:rsidR="004773F5" w:rsidRPr="0098013B">
        <w:rPr>
          <w:rFonts w:eastAsiaTheme="minorHAnsi" w:cs="Arial"/>
          <w:sz w:val="22"/>
          <w:szCs w:val="22"/>
          <w:lang w:eastAsia="en-US"/>
        </w:rPr>
        <w:t xml:space="preserve"> </w:t>
      </w:r>
      <w:r w:rsidR="004773F5" w:rsidRPr="0098013B">
        <w:rPr>
          <w:rFonts w:cs="Arial"/>
          <w:bCs/>
          <w:sz w:val="22"/>
          <w:szCs w:val="22"/>
        </w:rPr>
        <w:t xml:space="preserve">ШЬОВА КЕЙБЪЛ </w:t>
      </w:r>
      <w:r w:rsidR="004773F5" w:rsidRPr="0098013B">
        <w:rPr>
          <w:rFonts w:cs="Arial"/>
          <w:bCs/>
          <w:sz w:val="22"/>
          <w:szCs w:val="22"/>
          <w:lang w:val="en-US"/>
        </w:rPr>
        <w:t>CO</w:t>
      </w:r>
      <w:r w:rsidR="00586D5F" w:rsidRPr="0098013B">
        <w:rPr>
          <w:rFonts w:cs="Arial"/>
          <w:bCs/>
          <w:sz w:val="22"/>
          <w:szCs w:val="22"/>
        </w:rPr>
        <w:t>:</w:t>
      </w:r>
    </w:p>
    <w:p w14:paraId="7A72CCC1" w14:textId="7D4C2656" w:rsidR="00180DDB" w:rsidRDefault="00180DDB" w:rsidP="00180DDB">
      <w:pPr>
        <w:jc w:val="both"/>
        <w:rPr>
          <w:rFonts w:cs="Arial"/>
          <w:bCs/>
          <w:sz w:val="22"/>
          <w:szCs w:val="22"/>
          <w:lang w:val="en-US"/>
        </w:rPr>
      </w:pPr>
    </w:p>
    <w:p w14:paraId="2A1EA944" w14:textId="77777777" w:rsidR="00A769AC" w:rsidRPr="00586D5F" w:rsidRDefault="00A769AC" w:rsidP="00180DDB">
      <w:pPr>
        <w:jc w:val="both"/>
        <w:rPr>
          <w:rFonts w:cs="Arial"/>
          <w:bCs/>
          <w:sz w:val="22"/>
          <w:szCs w:val="22"/>
          <w:lang w:val="en-US"/>
        </w:rPr>
      </w:pPr>
    </w:p>
    <w:p w14:paraId="21260C5D" w14:textId="7A0CC1F6" w:rsidR="00180DDB" w:rsidRPr="00586D5F" w:rsidRDefault="00180DDB" w:rsidP="00586D5F">
      <w:pPr>
        <w:pStyle w:val="ListParagraph"/>
        <w:numPr>
          <w:ilvl w:val="0"/>
          <w:numId w:val="41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lastRenderedPageBreak/>
        <w:t>Номинално линейно напрежение – 400 кV;</w:t>
      </w:r>
    </w:p>
    <w:p w14:paraId="4BB51630" w14:textId="5602E0A1" w:rsidR="00180DDB" w:rsidRPr="00586D5F" w:rsidRDefault="00180DDB" w:rsidP="00586D5F">
      <w:pPr>
        <w:pStyle w:val="ListParagraph"/>
        <w:numPr>
          <w:ilvl w:val="0"/>
          <w:numId w:val="41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Максимално работно напрежение – 430 кV;</w:t>
      </w:r>
    </w:p>
    <w:p w14:paraId="7D21176F" w14:textId="786ECF94" w:rsidR="00180DDB" w:rsidRPr="00586D5F" w:rsidRDefault="00180DDB" w:rsidP="00586D5F">
      <w:pPr>
        <w:pStyle w:val="ListParagraph"/>
        <w:numPr>
          <w:ilvl w:val="0"/>
          <w:numId w:val="41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Номинално продължително токово натоварване на фаза – 700 А;</w:t>
      </w:r>
    </w:p>
    <w:p w14:paraId="798D0205" w14:textId="1EDBAFB9" w:rsidR="00180DDB" w:rsidRPr="00586D5F" w:rsidRDefault="00180DDB" w:rsidP="00586D5F">
      <w:pPr>
        <w:pStyle w:val="ListParagraph"/>
        <w:numPr>
          <w:ilvl w:val="0"/>
          <w:numId w:val="41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Токовото натоварване на кабела е с гарантирана стойност 700 А, при условие, че максималната температура на проводника е ≤ +85 ºС, а на въздуха +40ºС.</w:t>
      </w:r>
    </w:p>
    <w:p w14:paraId="31936E08" w14:textId="28100678" w:rsidR="00180DDB" w:rsidRPr="00586D5F" w:rsidRDefault="00180DDB" w:rsidP="00586D5F">
      <w:pPr>
        <w:pStyle w:val="ListParagraph"/>
        <w:numPr>
          <w:ilvl w:val="0"/>
          <w:numId w:val="41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Сечение на проводника /меден/ – 500 мм².</w:t>
      </w:r>
    </w:p>
    <w:p w14:paraId="7FF0F840" w14:textId="7E285289" w:rsidR="00180DDB" w:rsidRPr="00586D5F" w:rsidRDefault="00180DDB" w:rsidP="00586D5F">
      <w:pPr>
        <w:pStyle w:val="ListParagraph"/>
        <w:numPr>
          <w:ilvl w:val="0"/>
          <w:numId w:val="41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Ток на к.с. - 1 сек. –  12 кА</w:t>
      </w:r>
    </w:p>
    <w:p w14:paraId="5A70BD2A" w14:textId="062D150C" w:rsidR="00180DDB" w:rsidRPr="00586D5F" w:rsidRDefault="00180DDB" w:rsidP="00586D5F">
      <w:pPr>
        <w:pStyle w:val="ListParagraph"/>
        <w:numPr>
          <w:ilvl w:val="0"/>
          <w:numId w:val="41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 xml:space="preserve">Максимална денивелация по дължина на кабелното трасе – 200 м с 45º наклон. </w:t>
      </w:r>
    </w:p>
    <w:p w14:paraId="3215CF4C" w14:textId="3F7ADCD0" w:rsidR="00180DDB" w:rsidRPr="00586D5F" w:rsidRDefault="00180DDB" w:rsidP="00586D5F">
      <w:pPr>
        <w:pStyle w:val="ListParagraph"/>
        <w:numPr>
          <w:ilvl w:val="0"/>
          <w:numId w:val="41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Дължина на кабела за фаза – приблизително  535 м.</w:t>
      </w:r>
    </w:p>
    <w:p w14:paraId="09BE64B0" w14:textId="77777777" w:rsidR="00180DDB" w:rsidRPr="00586D5F" w:rsidRDefault="00180DDB" w:rsidP="00586D5F">
      <w:pPr>
        <w:pStyle w:val="ListParagraph"/>
        <w:numPr>
          <w:ilvl w:val="0"/>
          <w:numId w:val="41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Параметри на системата за обезпечаване на масло под налягане в  кабела:</w:t>
      </w:r>
    </w:p>
    <w:p w14:paraId="682971C0" w14:textId="425CE235" w:rsidR="00180DDB" w:rsidRPr="007532E2" w:rsidRDefault="00180DDB" w:rsidP="00374EB1">
      <w:pPr>
        <w:pStyle w:val="ListParagraph"/>
        <w:numPr>
          <w:ilvl w:val="0"/>
          <w:numId w:val="46"/>
        </w:numPr>
        <w:jc w:val="both"/>
        <w:rPr>
          <w:rFonts w:cs="Arial"/>
          <w:bCs/>
          <w:sz w:val="22"/>
          <w:szCs w:val="22"/>
        </w:rPr>
      </w:pPr>
      <w:r w:rsidRPr="007532E2">
        <w:rPr>
          <w:rFonts w:cs="Arial"/>
          <w:bCs/>
          <w:sz w:val="22"/>
          <w:szCs w:val="22"/>
        </w:rPr>
        <w:t>Ризкл.=1 [кг/см ²] –  точка на изключване-минимално допустимо налягане;</w:t>
      </w:r>
    </w:p>
    <w:p w14:paraId="18FDCD56" w14:textId="0C838FD7" w:rsidR="00180DDB" w:rsidRPr="007532E2" w:rsidRDefault="00180DDB" w:rsidP="00374EB1">
      <w:pPr>
        <w:pStyle w:val="ListParagraph"/>
        <w:numPr>
          <w:ilvl w:val="0"/>
          <w:numId w:val="46"/>
        </w:numPr>
        <w:jc w:val="both"/>
        <w:rPr>
          <w:rFonts w:cs="Arial"/>
          <w:bCs/>
          <w:sz w:val="22"/>
          <w:szCs w:val="22"/>
        </w:rPr>
      </w:pPr>
      <w:r w:rsidRPr="007532E2">
        <w:rPr>
          <w:rFonts w:cs="Arial"/>
          <w:bCs/>
          <w:sz w:val="22"/>
          <w:szCs w:val="22"/>
        </w:rPr>
        <w:t>Ра=1,4 [кг/см ²] – долна алармена точка;</w:t>
      </w:r>
    </w:p>
    <w:p w14:paraId="5BBB1603" w14:textId="70CAD958" w:rsidR="00180DDB" w:rsidRPr="007532E2" w:rsidRDefault="00180DDB" w:rsidP="00374EB1">
      <w:pPr>
        <w:pStyle w:val="ListParagraph"/>
        <w:numPr>
          <w:ilvl w:val="0"/>
          <w:numId w:val="46"/>
        </w:numPr>
        <w:jc w:val="both"/>
        <w:rPr>
          <w:rFonts w:cs="Arial"/>
          <w:bCs/>
          <w:sz w:val="22"/>
          <w:szCs w:val="22"/>
        </w:rPr>
      </w:pPr>
      <w:r w:rsidRPr="007532E2">
        <w:rPr>
          <w:rFonts w:cs="Arial"/>
          <w:bCs/>
          <w:sz w:val="22"/>
          <w:szCs w:val="22"/>
        </w:rPr>
        <w:t>Рs=2,015 [кг/см ²]  –  номинално налягане;</w:t>
      </w:r>
    </w:p>
    <w:p w14:paraId="57C503E7" w14:textId="65D8F898" w:rsidR="00180DDB" w:rsidRPr="007532E2" w:rsidRDefault="00180DDB" w:rsidP="00374EB1">
      <w:pPr>
        <w:pStyle w:val="ListParagraph"/>
        <w:numPr>
          <w:ilvl w:val="0"/>
          <w:numId w:val="46"/>
        </w:numPr>
        <w:jc w:val="both"/>
        <w:rPr>
          <w:rFonts w:cs="Arial"/>
          <w:bCs/>
          <w:sz w:val="22"/>
          <w:szCs w:val="22"/>
        </w:rPr>
      </w:pPr>
      <w:r w:rsidRPr="007532E2">
        <w:rPr>
          <w:rFonts w:cs="Arial"/>
          <w:bCs/>
          <w:sz w:val="22"/>
          <w:szCs w:val="22"/>
        </w:rPr>
        <w:t>Рмакс. = 4,83 [кг/см ²]  –  горна алармена точка.</w:t>
      </w:r>
    </w:p>
    <w:p w14:paraId="3D64ED2B" w14:textId="6F21DE08" w:rsidR="004137C1" w:rsidRPr="00586D5F" w:rsidRDefault="004137C1" w:rsidP="004137C1">
      <w:pPr>
        <w:spacing w:before="120" w:after="120"/>
        <w:jc w:val="both"/>
        <w:rPr>
          <w:sz w:val="22"/>
          <w:szCs w:val="22"/>
          <w:lang w:val="ru-RU"/>
        </w:rPr>
      </w:pPr>
      <w:r w:rsidRPr="00586D5F">
        <w:rPr>
          <w:sz w:val="22"/>
          <w:szCs w:val="22"/>
        </w:rPr>
        <w:t xml:space="preserve">Защитата на кабелите от атмосферни и комутационни пренапрежения  от страна на ВЛ-400 </w:t>
      </w:r>
      <w:r w:rsidRPr="007532E2">
        <w:rPr>
          <w:sz w:val="22"/>
          <w:szCs w:val="22"/>
        </w:rPr>
        <w:t>кV е осъществена от комплект вентилни отводи 400 кV, монтирани непосредствено след</w:t>
      </w:r>
      <w:r w:rsidRPr="00586D5F">
        <w:rPr>
          <w:sz w:val="22"/>
          <w:szCs w:val="22"/>
        </w:rPr>
        <w:t xml:space="preserve"> кабелната глава в ОРУ, на прехода “кабел-въздух”. Алуминиевата обвивка на всеки кабел 400 кV е директно заземена в една точка чрез заземителна клема, монтирана на кабелната глава в ОРУ 400 кV, към заземителната инсталация на ОРУ 400 кV. При маслопотопената кабелна глава заземителната клема е присъединена към заземителната инсталация на трансформаторното помещение през вентилен отвод. </w:t>
      </w:r>
    </w:p>
    <w:p w14:paraId="00ADA6D7" w14:textId="0BF8BD3F" w:rsidR="00F35D52" w:rsidRPr="00586D5F" w:rsidRDefault="00F35D52" w:rsidP="00F35D52">
      <w:pPr>
        <w:spacing w:before="120" w:after="120"/>
        <w:jc w:val="both"/>
        <w:rPr>
          <w:sz w:val="22"/>
          <w:szCs w:val="22"/>
        </w:rPr>
      </w:pPr>
      <w:r w:rsidRPr="00586D5F">
        <w:rPr>
          <w:sz w:val="22"/>
          <w:szCs w:val="22"/>
        </w:rPr>
        <w:t>За недопускане проникването на въздух в кабелите  при евентуални пропуски в тях , както и за осигуряване на възможност за разширяване на маслото при загряване</w:t>
      </w:r>
      <w:r w:rsidR="00F57560" w:rsidRPr="00586D5F">
        <w:rPr>
          <w:sz w:val="22"/>
          <w:szCs w:val="22"/>
        </w:rPr>
        <w:t>,</w:t>
      </w:r>
      <w:r w:rsidRPr="00586D5F">
        <w:rPr>
          <w:sz w:val="22"/>
          <w:szCs w:val="22"/>
        </w:rPr>
        <w:t xml:space="preserve">  без да се предизвиква опасно налягане, към всеки кабел са предвидени по два маслонапълнени резервоара. Те са свързани към кабела при външната /откритота/ кабелна глава и по-между си, което позволява при по-големи течове в даден кабел да се използва маслото от резервоарите и на другите кабели. Общия брой на резервоарите е 6 бр. Монтирани са в хоризонталната част на кабелна галерия – при изхода </w:t>
      </w:r>
      <w:r w:rsidR="007F5729" w:rsidRPr="00491729">
        <w:rPr>
          <w:rFonts w:cs="Arial"/>
          <w:sz w:val="22"/>
          <w:szCs w:val="22"/>
        </w:rPr>
        <w:t>ѝ</w:t>
      </w:r>
      <w:r w:rsidRPr="00586D5F">
        <w:rPr>
          <w:sz w:val="22"/>
          <w:szCs w:val="22"/>
        </w:rPr>
        <w:t xml:space="preserve"> в ОРУ 400 кV. За събиране на маслот</w:t>
      </w:r>
      <w:r w:rsidR="009342DB" w:rsidRPr="00491729">
        <w:rPr>
          <w:sz w:val="22"/>
          <w:szCs w:val="22"/>
        </w:rPr>
        <w:t>о</w:t>
      </w:r>
      <w:r w:rsidRPr="00586D5F">
        <w:rPr>
          <w:sz w:val="22"/>
          <w:szCs w:val="22"/>
        </w:rPr>
        <w:t xml:space="preserve"> от евентуални течове в тях, в ОРУ е изградена маслосборна яма.</w:t>
      </w:r>
    </w:p>
    <w:p w14:paraId="233B1500" w14:textId="7CED5F9A" w:rsidR="00180DDB" w:rsidRDefault="00F35D52" w:rsidP="00DC077D">
      <w:pPr>
        <w:spacing w:before="120" w:after="120"/>
        <w:jc w:val="both"/>
        <w:rPr>
          <w:sz w:val="22"/>
          <w:szCs w:val="22"/>
        </w:rPr>
      </w:pPr>
      <w:r w:rsidRPr="00586D5F">
        <w:rPr>
          <w:sz w:val="22"/>
          <w:szCs w:val="22"/>
        </w:rPr>
        <w:t xml:space="preserve">За сигнализиране на аварийно състояние в маслената инсталация </w:t>
      </w:r>
      <w:r w:rsidR="00247B44" w:rsidRPr="00586D5F">
        <w:rPr>
          <w:sz w:val="22"/>
          <w:szCs w:val="22"/>
        </w:rPr>
        <w:t>на</w:t>
      </w:r>
      <w:r w:rsidRPr="00586D5F">
        <w:rPr>
          <w:sz w:val="22"/>
          <w:szCs w:val="22"/>
        </w:rPr>
        <w:t xml:space="preserve"> кабел</w:t>
      </w:r>
      <w:r w:rsidR="00247B44" w:rsidRPr="00586D5F">
        <w:rPr>
          <w:sz w:val="22"/>
          <w:szCs w:val="22"/>
        </w:rPr>
        <w:t>а</w:t>
      </w:r>
      <w:r w:rsidRPr="00586D5F">
        <w:rPr>
          <w:sz w:val="22"/>
          <w:szCs w:val="22"/>
        </w:rPr>
        <w:t xml:space="preserve"> е монтиран</w:t>
      </w:r>
      <w:r w:rsidR="00247B44" w:rsidRPr="00586D5F">
        <w:rPr>
          <w:sz w:val="22"/>
          <w:szCs w:val="22"/>
        </w:rPr>
        <w:t>о</w:t>
      </w:r>
      <w:r w:rsidRPr="00586D5F">
        <w:rPr>
          <w:sz w:val="22"/>
          <w:szCs w:val="22"/>
        </w:rPr>
        <w:t xml:space="preserve"> </w:t>
      </w:r>
      <w:r w:rsidR="00247B44" w:rsidRPr="00586D5F">
        <w:rPr>
          <w:sz w:val="22"/>
          <w:szCs w:val="22"/>
        </w:rPr>
        <w:t>табло</w:t>
      </w:r>
      <w:r w:rsidRPr="00586D5F">
        <w:rPr>
          <w:sz w:val="22"/>
          <w:szCs w:val="22"/>
        </w:rPr>
        <w:t xml:space="preserve"> до </w:t>
      </w:r>
      <w:r w:rsidR="00F57560" w:rsidRPr="00586D5F">
        <w:rPr>
          <w:sz w:val="22"/>
          <w:szCs w:val="22"/>
        </w:rPr>
        <w:t>изхода</w:t>
      </w:r>
      <w:r w:rsidRPr="00586D5F">
        <w:rPr>
          <w:sz w:val="22"/>
          <w:szCs w:val="22"/>
        </w:rPr>
        <w:t xml:space="preserve"> на кабалната галерия №1 към ОРУ 400 кV. То е захранено от 220 V</w:t>
      </w:r>
      <w:r w:rsidR="00B3082F" w:rsidRPr="00586D5F">
        <w:rPr>
          <w:sz w:val="22"/>
          <w:szCs w:val="22"/>
        </w:rPr>
        <w:t xml:space="preserve">АС </w:t>
      </w:r>
      <w:r w:rsidRPr="00586D5F">
        <w:rPr>
          <w:sz w:val="22"/>
          <w:szCs w:val="22"/>
        </w:rPr>
        <w:t>(нормално) и 110 V</w:t>
      </w:r>
      <w:r w:rsidR="00086BD4" w:rsidRPr="00586D5F">
        <w:rPr>
          <w:sz w:val="22"/>
          <w:szCs w:val="22"/>
          <w:lang w:val="en-US"/>
        </w:rPr>
        <w:t xml:space="preserve">DC </w:t>
      </w:r>
      <w:r w:rsidRPr="00586D5F">
        <w:rPr>
          <w:sz w:val="22"/>
          <w:szCs w:val="22"/>
        </w:rPr>
        <w:t>(резервно), с автоматично превключване. Нормалното</w:t>
      </w:r>
      <w:r w:rsidR="00086BD4" w:rsidRPr="00586D5F">
        <w:rPr>
          <w:sz w:val="22"/>
          <w:szCs w:val="22"/>
        </w:rPr>
        <w:t xml:space="preserve"> или аварийното</w:t>
      </w:r>
      <w:r w:rsidRPr="00586D5F">
        <w:rPr>
          <w:sz w:val="22"/>
          <w:szCs w:val="22"/>
        </w:rPr>
        <w:t xml:space="preserve"> състояние </w:t>
      </w:r>
      <w:r w:rsidR="00086BD4" w:rsidRPr="00586D5F">
        <w:rPr>
          <w:sz w:val="22"/>
          <w:szCs w:val="22"/>
          <w:lang w:val="en-US"/>
        </w:rPr>
        <w:t>(</w:t>
      </w:r>
      <w:r w:rsidRPr="00586D5F">
        <w:rPr>
          <w:sz w:val="22"/>
          <w:szCs w:val="22"/>
        </w:rPr>
        <w:t>налагане</w:t>
      </w:r>
      <w:r w:rsidR="00086BD4" w:rsidRPr="00586D5F">
        <w:rPr>
          <w:sz w:val="22"/>
          <w:szCs w:val="22"/>
          <w:lang w:val="en-US"/>
        </w:rPr>
        <w:t>)</w:t>
      </w:r>
      <w:r w:rsidRPr="00586D5F">
        <w:rPr>
          <w:sz w:val="22"/>
          <w:szCs w:val="22"/>
        </w:rPr>
        <w:t xml:space="preserve"> на маслената инсталация се сигнализира чрез лампи</w:t>
      </w:r>
      <w:r w:rsidR="00086BD4" w:rsidRPr="00586D5F">
        <w:rPr>
          <w:sz w:val="22"/>
          <w:szCs w:val="22"/>
        </w:rPr>
        <w:t xml:space="preserve"> съответно зелен или червен цвят</w:t>
      </w:r>
      <w:r w:rsidR="00086BD4" w:rsidRPr="00586D5F">
        <w:rPr>
          <w:sz w:val="22"/>
          <w:szCs w:val="22"/>
          <w:lang w:val="en-US"/>
        </w:rPr>
        <w:t>,</w:t>
      </w:r>
      <w:r w:rsidRPr="00586D5F">
        <w:rPr>
          <w:sz w:val="22"/>
          <w:szCs w:val="22"/>
        </w:rPr>
        <w:t xml:space="preserve"> монтирани на фасадата на </w:t>
      </w:r>
      <w:r w:rsidR="00086BD4" w:rsidRPr="00586D5F">
        <w:rPr>
          <w:sz w:val="22"/>
          <w:szCs w:val="22"/>
        </w:rPr>
        <w:t>таблото.</w:t>
      </w:r>
      <w:r w:rsidR="00086BD4" w:rsidRPr="00586D5F">
        <w:t xml:space="preserve"> </w:t>
      </w:r>
      <w:r w:rsidR="00086BD4" w:rsidRPr="00586D5F">
        <w:rPr>
          <w:sz w:val="22"/>
          <w:szCs w:val="22"/>
        </w:rPr>
        <w:t>С</w:t>
      </w:r>
      <w:r w:rsidRPr="00586D5F">
        <w:rPr>
          <w:sz w:val="22"/>
          <w:szCs w:val="22"/>
        </w:rPr>
        <w:t xml:space="preserve">игнала за </w:t>
      </w:r>
      <w:r w:rsidR="00DC077D" w:rsidRPr="00586D5F">
        <w:rPr>
          <w:sz w:val="22"/>
          <w:szCs w:val="22"/>
        </w:rPr>
        <w:t>авария на маслената инсталация</w:t>
      </w:r>
      <w:r w:rsidRPr="00586D5F">
        <w:rPr>
          <w:sz w:val="22"/>
          <w:szCs w:val="22"/>
        </w:rPr>
        <w:t xml:space="preserve"> се получава от ел</w:t>
      </w:r>
      <w:r w:rsidR="00F57560" w:rsidRPr="00586D5F">
        <w:rPr>
          <w:sz w:val="22"/>
          <w:szCs w:val="22"/>
        </w:rPr>
        <w:t>ектро</w:t>
      </w:r>
      <w:r w:rsidRPr="00586D5F">
        <w:rPr>
          <w:sz w:val="22"/>
          <w:szCs w:val="22"/>
        </w:rPr>
        <w:t xml:space="preserve">контактни манометри </w:t>
      </w:r>
      <w:r w:rsidR="00B529AD" w:rsidRPr="00586D5F">
        <w:rPr>
          <w:sz w:val="22"/>
          <w:szCs w:val="22"/>
        </w:rPr>
        <w:t>на</w:t>
      </w:r>
      <w:r w:rsidRPr="00586D5F">
        <w:rPr>
          <w:sz w:val="22"/>
          <w:szCs w:val="22"/>
        </w:rPr>
        <w:t xml:space="preserve"> резервоарите</w:t>
      </w:r>
      <w:r w:rsidR="00DC077D" w:rsidRPr="00586D5F">
        <w:rPr>
          <w:sz w:val="22"/>
          <w:szCs w:val="22"/>
        </w:rPr>
        <w:t xml:space="preserve"> и</w:t>
      </w:r>
      <w:r w:rsidRPr="00586D5F">
        <w:rPr>
          <w:sz w:val="22"/>
          <w:szCs w:val="22"/>
        </w:rPr>
        <w:t xml:space="preserve"> се по</w:t>
      </w:r>
      <w:r w:rsidR="00086BD4" w:rsidRPr="00586D5F">
        <w:rPr>
          <w:sz w:val="22"/>
          <w:szCs w:val="22"/>
        </w:rPr>
        <w:t>дава</w:t>
      </w:r>
      <w:r w:rsidRPr="00586D5F">
        <w:rPr>
          <w:sz w:val="22"/>
          <w:szCs w:val="22"/>
        </w:rPr>
        <w:t xml:space="preserve"> </w:t>
      </w:r>
      <w:r w:rsidR="00086BD4" w:rsidRPr="00586D5F">
        <w:rPr>
          <w:sz w:val="22"/>
          <w:szCs w:val="22"/>
        </w:rPr>
        <w:t xml:space="preserve">на системата за </w:t>
      </w:r>
      <w:r w:rsidR="00B529AD" w:rsidRPr="00586D5F">
        <w:rPr>
          <w:sz w:val="22"/>
          <w:szCs w:val="22"/>
        </w:rPr>
        <w:t>управление</w:t>
      </w:r>
      <w:r w:rsidRPr="00586D5F">
        <w:rPr>
          <w:sz w:val="22"/>
          <w:szCs w:val="22"/>
        </w:rPr>
        <w:t>.</w:t>
      </w:r>
    </w:p>
    <w:p w14:paraId="37F190C4" w14:textId="77777777" w:rsidR="00586D5F" w:rsidRPr="00586D5F" w:rsidRDefault="00586D5F" w:rsidP="00DC077D">
      <w:pPr>
        <w:spacing w:before="120" w:after="120"/>
        <w:jc w:val="both"/>
        <w:rPr>
          <w:rFonts w:cs="Arial"/>
          <w:bCs/>
          <w:sz w:val="22"/>
          <w:szCs w:val="22"/>
        </w:rPr>
      </w:pPr>
    </w:p>
    <w:p w14:paraId="76EAED00" w14:textId="6AA5773A" w:rsidR="005A335F" w:rsidRPr="00586D5F" w:rsidRDefault="000F3823" w:rsidP="0098013B">
      <w:pPr>
        <w:pStyle w:val="ListParagraph"/>
        <w:numPr>
          <w:ilvl w:val="0"/>
          <w:numId w:val="48"/>
        </w:numPr>
        <w:spacing w:after="120" w:line="276" w:lineRule="auto"/>
        <w:jc w:val="both"/>
        <w:rPr>
          <w:rFonts w:eastAsia="Calibri" w:cs="Arial"/>
          <w:b/>
          <w:sz w:val="22"/>
          <w:szCs w:val="22"/>
          <w:lang w:eastAsia="en-US"/>
        </w:rPr>
      </w:pPr>
      <w:r w:rsidRPr="00586D5F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</w:t>
      </w:r>
      <w:r w:rsidR="00AE1FC0" w:rsidRPr="00586D5F">
        <w:rPr>
          <w:rFonts w:eastAsia="Calibri" w:cs="Arial"/>
          <w:b/>
          <w:sz w:val="22"/>
          <w:szCs w:val="22"/>
          <w:lang w:eastAsia="en-US"/>
        </w:rPr>
        <w:t xml:space="preserve"> ИЗПЪЛНЕНИЕ НА УСЛУГАТА</w:t>
      </w:r>
    </w:p>
    <w:p w14:paraId="55DC5D6A" w14:textId="70519E64" w:rsidR="00880089" w:rsidRPr="00586D5F" w:rsidRDefault="000F3823" w:rsidP="0098013B">
      <w:pPr>
        <w:pStyle w:val="ListParagraph"/>
        <w:keepNext/>
        <w:numPr>
          <w:ilvl w:val="1"/>
          <w:numId w:val="48"/>
        </w:numPr>
        <w:spacing w:after="120" w:line="276" w:lineRule="auto"/>
        <w:jc w:val="both"/>
        <w:rPr>
          <w:rFonts w:cs="Arial"/>
          <w:bCs/>
          <w:sz w:val="22"/>
          <w:szCs w:val="22"/>
        </w:rPr>
      </w:pPr>
      <w:r w:rsidRPr="00586D5F">
        <w:rPr>
          <w:rFonts w:eastAsia="Calibri" w:cs="Arial"/>
          <w:b/>
          <w:sz w:val="22"/>
          <w:szCs w:val="22"/>
          <w:lang w:val="x-none" w:eastAsia="en-US"/>
        </w:rPr>
        <w:t xml:space="preserve">Технически изисквания към </w:t>
      </w:r>
      <w:r w:rsidR="004C6DA4" w:rsidRPr="00586D5F">
        <w:rPr>
          <w:rFonts w:eastAsia="Calibri" w:cs="Arial"/>
          <w:b/>
          <w:sz w:val="22"/>
          <w:szCs w:val="22"/>
          <w:lang w:eastAsia="en-US"/>
        </w:rPr>
        <w:t>услугата</w:t>
      </w:r>
    </w:p>
    <w:p w14:paraId="48B58A39" w14:textId="317B785E" w:rsidR="00147618" w:rsidRPr="00586D5F" w:rsidRDefault="00880089" w:rsidP="0098013B">
      <w:pPr>
        <w:pStyle w:val="ListParagraph"/>
        <w:keepNext/>
        <w:numPr>
          <w:ilvl w:val="2"/>
          <w:numId w:val="48"/>
        </w:numPr>
        <w:spacing w:after="120" w:line="276" w:lineRule="auto"/>
        <w:jc w:val="both"/>
        <w:rPr>
          <w:rFonts w:eastAsia="Calibri" w:cs="Arial"/>
          <w:b/>
          <w:sz w:val="22"/>
          <w:szCs w:val="22"/>
          <w:lang w:eastAsia="en-US"/>
        </w:rPr>
      </w:pPr>
      <w:r w:rsidRPr="00586D5F">
        <w:rPr>
          <w:rFonts w:cs="Arial"/>
          <w:bCs/>
          <w:sz w:val="22"/>
          <w:szCs w:val="22"/>
        </w:rPr>
        <w:t>В съответствие с изискванията на стандарт IEC 60141-4:1980 ED1и IEC 60141-4:1980 ED1 /AMD1:1990 ED1</w:t>
      </w:r>
      <w:r w:rsidR="0064199B" w:rsidRPr="00586D5F">
        <w:rPr>
          <w:rFonts w:cs="Arial"/>
          <w:bCs/>
          <w:sz w:val="22"/>
          <w:szCs w:val="22"/>
        </w:rPr>
        <w:t>:</w:t>
      </w:r>
    </w:p>
    <w:p w14:paraId="34C9E5BA" w14:textId="486FC893" w:rsidR="00373602" w:rsidRPr="00586D5F" w:rsidRDefault="00580D07" w:rsidP="00586D5F">
      <w:pPr>
        <w:pStyle w:val="ListParagraph"/>
        <w:numPr>
          <w:ilvl w:val="0"/>
          <w:numId w:val="39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Извършване на технически преглед</w:t>
      </w:r>
      <w:r w:rsidR="00706336" w:rsidRPr="00586D5F">
        <w:rPr>
          <w:rFonts w:cs="Arial"/>
          <w:bCs/>
          <w:sz w:val="22"/>
          <w:szCs w:val="22"/>
          <w:lang w:val="en-US"/>
        </w:rPr>
        <w:t>,</w:t>
      </w:r>
      <w:r w:rsidRPr="00586D5F">
        <w:rPr>
          <w:rFonts w:cs="Arial"/>
          <w:bCs/>
          <w:sz w:val="22"/>
          <w:szCs w:val="22"/>
        </w:rPr>
        <w:t xml:space="preserve"> </w:t>
      </w:r>
      <w:r w:rsidR="00147618" w:rsidRPr="00586D5F">
        <w:rPr>
          <w:rFonts w:cs="Arial"/>
          <w:bCs/>
          <w:sz w:val="22"/>
          <w:szCs w:val="22"/>
        </w:rPr>
        <w:t xml:space="preserve">минимални </w:t>
      </w:r>
      <w:r w:rsidRPr="00586D5F">
        <w:rPr>
          <w:rFonts w:cs="Arial"/>
          <w:bCs/>
          <w:sz w:val="22"/>
          <w:szCs w:val="22"/>
        </w:rPr>
        <w:t>електрически</w:t>
      </w:r>
      <w:r w:rsidR="00706336" w:rsidRPr="00586D5F">
        <w:rPr>
          <w:rFonts w:cs="Arial"/>
          <w:bCs/>
          <w:sz w:val="22"/>
          <w:szCs w:val="22"/>
          <w:lang w:val="en-US"/>
        </w:rPr>
        <w:t xml:space="preserve"> </w:t>
      </w:r>
      <w:r w:rsidR="00706336" w:rsidRPr="00586D5F">
        <w:rPr>
          <w:rFonts w:cs="Arial"/>
          <w:bCs/>
          <w:sz w:val="22"/>
          <w:szCs w:val="22"/>
        </w:rPr>
        <w:t>и високоволтови</w:t>
      </w:r>
      <w:r w:rsidRPr="00586D5F">
        <w:rPr>
          <w:rFonts w:cs="Arial"/>
          <w:bCs/>
          <w:sz w:val="22"/>
          <w:szCs w:val="22"/>
        </w:rPr>
        <w:t xml:space="preserve"> измервания на маслонапълнен кабел 400 </w:t>
      </w:r>
      <w:r w:rsidRPr="00586D5F">
        <w:rPr>
          <w:rFonts w:cs="Arial"/>
          <w:bCs/>
          <w:sz w:val="22"/>
          <w:szCs w:val="22"/>
          <w:lang w:val="en-US"/>
        </w:rPr>
        <w:t>kV</w:t>
      </w:r>
      <w:r w:rsidR="00915BA5" w:rsidRPr="00586D5F">
        <w:rPr>
          <w:rFonts w:cs="Arial"/>
          <w:bCs/>
          <w:sz w:val="22"/>
          <w:szCs w:val="22"/>
        </w:rPr>
        <w:t xml:space="preserve">, както и допълнителни измервания при необходимост, в съответствие с параметрите на </w:t>
      </w:r>
      <w:r w:rsidR="0008179B" w:rsidRPr="00586D5F">
        <w:rPr>
          <w:rFonts w:cs="Arial"/>
          <w:bCs/>
          <w:sz w:val="22"/>
          <w:szCs w:val="22"/>
        </w:rPr>
        <w:t>методика</w:t>
      </w:r>
      <w:r w:rsidR="00915BA5" w:rsidRPr="00586D5F">
        <w:rPr>
          <w:rFonts w:cs="Arial"/>
          <w:bCs/>
          <w:sz w:val="22"/>
          <w:szCs w:val="22"/>
        </w:rPr>
        <w:t xml:space="preserve"> за оценка.</w:t>
      </w:r>
    </w:p>
    <w:p w14:paraId="0EBF48A8" w14:textId="4365C9CB" w:rsidR="00243184" w:rsidRPr="0011545B" w:rsidRDefault="00243184" w:rsidP="005F4FDD">
      <w:pPr>
        <w:jc w:val="both"/>
        <w:rPr>
          <w:rFonts w:cs="Arial"/>
          <w:bCs/>
          <w:sz w:val="22"/>
          <w:szCs w:val="22"/>
        </w:rPr>
      </w:pPr>
    </w:p>
    <w:p w14:paraId="7A8E25F6" w14:textId="731B4D94" w:rsidR="00147618" w:rsidRPr="00586D5F" w:rsidRDefault="0064199B" w:rsidP="00586D5F">
      <w:pPr>
        <w:pStyle w:val="ListParagraph"/>
        <w:numPr>
          <w:ilvl w:val="0"/>
          <w:numId w:val="39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Извършване на м</w:t>
      </w:r>
      <w:r w:rsidR="00FA1FF4" w:rsidRPr="00586D5F">
        <w:rPr>
          <w:rFonts w:cs="Arial"/>
          <w:bCs/>
          <w:sz w:val="22"/>
          <w:szCs w:val="22"/>
        </w:rPr>
        <w:t>инимален обем изпитания</w:t>
      </w:r>
      <w:r w:rsidR="00FA1FF4" w:rsidRPr="00586D5F">
        <w:rPr>
          <w:rFonts w:cs="Arial"/>
          <w:bCs/>
          <w:sz w:val="22"/>
          <w:szCs w:val="22"/>
          <w:lang w:val="en-US"/>
        </w:rPr>
        <w:t xml:space="preserve"> </w:t>
      </w:r>
      <w:r w:rsidR="00FA1FF4" w:rsidRPr="00586D5F">
        <w:rPr>
          <w:rFonts w:cs="Arial"/>
          <w:bCs/>
          <w:sz w:val="22"/>
          <w:szCs w:val="22"/>
        </w:rPr>
        <w:t xml:space="preserve">на допълнителните съоръжения и аксесоари </w:t>
      </w:r>
      <w:r w:rsidR="00692E27" w:rsidRPr="00586D5F">
        <w:rPr>
          <w:rFonts w:cs="Arial"/>
          <w:bCs/>
          <w:sz w:val="22"/>
          <w:szCs w:val="22"/>
        </w:rPr>
        <w:t xml:space="preserve">(стоманени тръбички, уплътнения, разпределители, маслени резервоари, манометри и др.), </w:t>
      </w:r>
      <w:r w:rsidR="00FA1FF4" w:rsidRPr="00586D5F">
        <w:rPr>
          <w:rFonts w:cs="Arial"/>
          <w:bCs/>
          <w:sz w:val="22"/>
          <w:szCs w:val="22"/>
        </w:rPr>
        <w:t>за изготвяне на анализ и оценка на състоянието им.</w:t>
      </w:r>
    </w:p>
    <w:p w14:paraId="5621E2E8" w14:textId="77777777" w:rsidR="00692E27" w:rsidRPr="0011545B" w:rsidRDefault="00692E27" w:rsidP="005F4FDD">
      <w:pPr>
        <w:jc w:val="both"/>
        <w:rPr>
          <w:rFonts w:cs="Arial"/>
          <w:bCs/>
          <w:sz w:val="22"/>
          <w:szCs w:val="22"/>
        </w:rPr>
      </w:pPr>
    </w:p>
    <w:p w14:paraId="09F67AFE" w14:textId="650D6F99" w:rsidR="00692E27" w:rsidRPr="00586D5F" w:rsidRDefault="00692E27" w:rsidP="0098013B">
      <w:pPr>
        <w:pStyle w:val="ListParagraph"/>
        <w:numPr>
          <w:ilvl w:val="2"/>
          <w:numId w:val="48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Тест на антикорозионното покритие.</w:t>
      </w:r>
    </w:p>
    <w:p w14:paraId="6D7F1BEA" w14:textId="77777777" w:rsidR="00692E27" w:rsidRPr="0011545B" w:rsidRDefault="00692E27" w:rsidP="005F4FDD">
      <w:pPr>
        <w:jc w:val="both"/>
        <w:rPr>
          <w:rFonts w:cs="Arial"/>
          <w:bCs/>
          <w:sz w:val="22"/>
          <w:szCs w:val="22"/>
        </w:rPr>
      </w:pPr>
    </w:p>
    <w:p w14:paraId="64415BAD" w14:textId="11779A7C" w:rsidR="00B87015" w:rsidRPr="00491729" w:rsidRDefault="00915BA5" w:rsidP="0098013B">
      <w:pPr>
        <w:pStyle w:val="ListParagraph"/>
        <w:numPr>
          <w:ilvl w:val="2"/>
          <w:numId w:val="48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 xml:space="preserve">Анализ на запълненото в кабела </w:t>
      </w:r>
      <w:r w:rsidR="00243184" w:rsidRPr="00586D5F">
        <w:rPr>
          <w:rFonts w:cs="Arial"/>
          <w:bCs/>
          <w:sz w:val="22"/>
          <w:szCs w:val="22"/>
        </w:rPr>
        <w:t xml:space="preserve">експлоатационно </w:t>
      </w:r>
      <w:r w:rsidRPr="00586D5F">
        <w:rPr>
          <w:rFonts w:cs="Arial"/>
          <w:bCs/>
          <w:sz w:val="22"/>
          <w:szCs w:val="22"/>
        </w:rPr>
        <w:t>кабелно масло</w:t>
      </w:r>
      <w:r w:rsidR="00E103BF" w:rsidRPr="00586D5F">
        <w:rPr>
          <w:rFonts w:cs="Arial"/>
          <w:bCs/>
          <w:sz w:val="22"/>
          <w:szCs w:val="22"/>
        </w:rPr>
        <w:t xml:space="preserve">, за всяка от фазите </w:t>
      </w:r>
      <w:r w:rsidR="00E103BF" w:rsidRPr="00491729">
        <w:rPr>
          <w:rFonts w:cs="Arial"/>
          <w:bCs/>
          <w:sz w:val="22"/>
          <w:szCs w:val="22"/>
        </w:rPr>
        <w:t xml:space="preserve">– </w:t>
      </w:r>
      <w:r w:rsidR="009342DB" w:rsidRPr="00491729">
        <w:rPr>
          <w:rFonts w:cs="Arial"/>
          <w:bCs/>
          <w:sz w:val="22"/>
          <w:szCs w:val="22"/>
          <w:lang w:val="en-US"/>
        </w:rPr>
        <w:t xml:space="preserve">R, </w:t>
      </w:r>
      <w:r w:rsidR="00E103BF" w:rsidRPr="00491729">
        <w:rPr>
          <w:rFonts w:cs="Arial"/>
          <w:bCs/>
          <w:sz w:val="22"/>
          <w:szCs w:val="22"/>
          <w:lang w:val="en-US"/>
        </w:rPr>
        <w:t>S, T</w:t>
      </w:r>
      <w:r w:rsidRPr="00491729">
        <w:rPr>
          <w:rFonts w:cs="Arial"/>
          <w:bCs/>
          <w:sz w:val="22"/>
          <w:szCs w:val="22"/>
        </w:rPr>
        <w:t xml:space="preserve"> и налично</w:t>
      </w:r>
      <w:r w:rsidR="00B94095" w:rsidRPr="00491729">
        <w:rPr>
          <w:rFonts w:cs="Arial"/>
          <w:bCs/>
          <w:sz w:val="22"/>
          <w:szCs w:val="22"/>
        </w:rPr>
        <w:t xml:space="preserve"> </w:t>
      </w:r>
      <w:r w:rsidRPr="00491729">
        <w:rPr>
          <w:rFonts w:cs="Arial"/>
          <w:bCs/>
          <w:sz w:val="22"/>
          <w:szCs w:val="22"/>
        </w:rPr>
        <w:t>резервно кабелно масло</w:t>
      </w:r>
      <w:r w:rsidR="00B94095" w:rsidRPr="00491729">
        <w:rPr>
          <w:rFonts w:cs="Arial"/>
          <w:bCs/>
          <w:sz w:val="22"/>
          <w:szCs w:val="22"/>
        </w:rPr>
        <w:t xml:space="preserve"> </w:t>
      </w:r>
      <w:r w:rsidRPr="00491729">
        <w:rPr>
          <w:rFonts w:cs="Arial"/>
          <w:bCs/>
          <w:sz w:val="22"/>
          <w:szCs w:val="22"/>
        </w:rPr>
        <w:t>в обем минимум:</w:t>
      </w:r>
    </w:p>
    <w:p w14:paraId="2C54C103" w14:textId="17F282DE" w:rsidR="00915BA5" w:rsidRPr="00586D5F" w:rsidRDefault="00915BA5" w:rsidP="00586D5F">
      <w:pPr>
        <w:pStyle w:val="ListParagraph"/>
        <w:numPr>
          <w:ilvl w:val="0"/>
          <w:numId w:val="39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 xml:space="preserve">определяне </w:t>
      </w:r>
      <w:r w:rsidR="00AA74C5" w:rsidRPr="00586D5F">
        <w:rPr>
          <w:rFonts w:cs="Arial"/>
          <w:bCs/>
          <w:sz w:val="22"/>
          <w:szCs w:val="22"/>
        </w:rPr>
        <w:t>вида</w:t>
      </w:r>
      <w:r w:rsidRPr="00586D5F">
        <w:rPr>
          <w:rFonts w:cs="Arial"/>
          <w:bCs/>
          <w:sz w:val="22"/>
          <w:szCs w:val="22"/>
        </w:rPr>
        <w:t xml:space="preserve"> на кабелното масло </w:t>
      </w:r>
      <w:r w:rsidR="00AA74C5" w:rsidRPr="00586D5F">
        <w:rPr>
          <w:rFonts w:cs="Arial"/>
          <w:bCs/>
          <w:sz w:val="22"/>
          <w:szCs w:val="22"/>
        </w:rPr>
        <w:t>в зависимост от химичния състав на базата, определен чрез инфрачервена спектрометрия;</w:t>
      </w:r>
    </w:p>
    <w:p w14:paraId="2D55586E" w14:textId="69766F2F" w:rsidR="00AA74C5" w:rsidRPr="00586D5F" w:rsidRDefault="00AA74C5" w:rsidP="00586D5F">
      <w:pPr>
        <w:pStyle w:val="ListParagraph"/>
        <w:numPr>
          <w:ilvl w:val="0"/>
          <w:numId w:val="39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lastRenderedPageBreak/>
        <w:t xml:space="preserve">при установяване на алкилбензенова база при предходния анализ, определяне типа на маслото </w:t>
      </w:r>
      <w:r w:rsidR="00243184" w:rsidRPr="00586D5F">
        <w:rPr>
          <w:rFonts w:cs="Arial"/>
          <w:bCs/>
          <w:sz w:val="22"/>
          <w:szCs w:val="22"/>
        </w:rPr>
        <w:t>(</w:t>
      </w:r>
      <w:r w:rsidR="00243184" w:rsidRPr="00586D5F">
        <w:rPr>
          <w:rFonts w:cs="Arial"/>
          <w:bCs/>
          <w:sz w:val="22"/>
          <w:szCs w:val="22"/>
          <w:lang w:val="en-US"/>
        </w:rPr>
        <w:t xml:space="preserve">I, II </w:t>
      </w:r>
      <w:r w:rsidR="00243184" w:rsidRPr="00586D5F">
        <w:rPr>
          <w:rFonts w:cs="Arial"/>
          <w:bCs/>
          <w:sz w:val="22"/>
          <w:szCs w:val="22"/>
        </w:rPr>
        <w:t xml:space="preserve">или </w:t>
      </w:r>
      <w:r w:rsidR="00243184" w:rsidRPr="00586D5F">
        <w:rPr>
          <w:rFonts w:cs="Arial"/>
          <w:bCs/>
          <w:sz w:val="22"/>
          <w:szCs w:val="22"/>
          <w:lang w:val="en-US"/>
        </w:rPr>
        <w:t>III</w:t>
      </w:r>
      <w:r w:rsidR="00243184" w:rsidRPr="00586D5F">
        <w:rPr>
          <w:rFonts w:cs="Arial"/>
          <w:bCs/>
          <w:sz w:val="22"/>
          <w:szCs w:val="22"/>
        </w:rPr>
        <w:t>)</w:t>
      </w:r>
      <w:r w:rsidRPr="00586D5F">
        <w:rPr>
          <w:rFonts w:cs="Arial"/>
          <w:bCs/>
          <w:sz w:val="22"/>
          <w:szCs w:val="22"/>
        </w:rPr>
        <w:t xml:space="preserve">, съгласно </w:t>
      </w:r>
      <w:r w:rsidRPr="00586D5F">
        <w:rPr>
          <w:rFonts w:cs="Arial"/>
          <w:bCs/>
          <w:sz w:val="22"/>
          <w:szCs w:val="22"/>
          <w:lang w:val="en-US"/>
        </w:rPr>
        <w:t>IEC</w:t>
      </w:r>
      <w:r w:rsidRPr="00586D5F">
        <w:rPr>
          <w:rFonts w:cs="Arial"/>
          <w:bCs/>
          <w:sz w:val="22"/>
          <w:szCs w:val="22"/>
        </w:rPr>
        <w:t xml:space="preserve"> 60867;</w:t>
      </w:r>
    </w:p>
    <w:p w14:paraId="1ECD0E9F" w14:textId="0BAAD3AE" w:rsidR="00243184" w:rsidRPr="00586D5F" w:rsidRDefault="00243184" w:rsidP="00586D5F">
      <w:pPr>
        <w:pStyle w:val="ListParagraph"/>
        <w:numPr>
          <w:ilvl w:val="0"/>
          <w:numId w:val="39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физикохимичен анализ по показатели, както следва: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475"/>
        <w:gridCol w:w="3557"/>
      </w:tblGrid>
      <w:tr w:rsidR="0011545B" w:rsidRPr="0011545B" w14:paraId="1E9FAEF1" w14:textId="77777777" w:rsidTr="00243184">
        <w:tc>
          <w:tcPr>
            <w:tcW w:w="567" w:type="dxa"/>
          </w:tcPr>
          <w:p w14:paraId="567C73D5" w14:textId="5A0A04A9" w:rsidR="00243184" w:rsidRPr="0011545B" w:rsidRDefault="00243184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№</w:t>
            </w:r>
          </w:p>
        </w:tc>
        <w:tc>
          <w:tcPr>
            <w:tcW w:w="5475" w:type="dxa"/>
          </w:tcPr>
          <w:p w14:paraId="7BCFC761" w14:textId="39178600" w:rsidR="00243184" w:rsidRPr="0011545B" w:rsidRDefault="00243184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 xml:space="preserve">Показател </w:t>
            </w:r>
          </w:p>
        </w:tc>
        <w:tc>
          <w:tcPr>
            <w:tcW w:w="3557" w:type="dxa"/>
          </w:tcPr>
          <w:p w14:paraId="6D20CE85" w14:textId="00CCAC43" w:rsidR="00243184" w:rsidRPr="0011545B" w:rsidRDefault="00243184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 xml:space="preserve">Стандарт </w:t>
            </w:r>
          </w:p>
        </w:tc>
      </w:tr>
      <w:tr w:rsidR="0011545B" w:rsidRPr="0011545B" w14:paraId="2EDF29D8" w14:textId="77777777" w:rsidTr="00243184">
        <w:tc>
          <w:tcPr>
            <w:tcW w:w="567" w:type="dxa"/>
          </w:tcPr>
          <w:p w14:paraId="36DD7EE0" w14:textId="4D61B072" w:rsidR="00243184" w:rsidRPr="0011545B" w:rsidRDefault="00243184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5475" w:type="dxa"/>
          </w:tcPr>
          <w:p w14:paraId="6F07194E" w14:textId="7F74974E" w:rsidR="00243184" w:rsidRPr="0011545B" w:rsidRDefault="00243184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Външен вид (прозрачност, утайки, диспергирани частици)</w:t>
            </w:r>
          </w:p>
        </w:tc>
        <w:tc>
          <w:tcPr>
            <w:tcW w:w="3557" w:type="dxa"/>
          </w:tcPr>
          <w:p w14:paraId="7E62C9A8" w14:textId="4A3065F3" w:rsidR="00243184" w:rsidRPr="0011545B" w:rsidRDefault="00243184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Определя се визуално</w:t>
            </w:r>
          </w:p>
        </w:tc>
      </w:tr>
      <w:tr w:rsidR="0011545B" w:rsidRPr="0011545B" w14:paraId="541F69F4" w14:textId="77777777" w:rsidTr="00243184">
        <w:tc>
          <w:tcPr>
            <w:tcW w:w="567" w:type="dxa"/>
          </w:tcPr>
          <w:p w14:paraId="7B4BD671" w14:textId="37BAD237" w:rsidR="00243184" w:rsidRPr="0011545B" w:rsidRDefault="00243184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5475" w:type="dxa"/>
          </w:tcPr>
          <w:p w14:paraId="42550807" w14:textId="49E4FBE2" w:rsidR="00243184" w:rsidRPr="0011545B" w:rsidRDefault="002C1F53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Плътност при 20 ºС, kg/dm³</w:t>
            </w:r>
          </w:p>
        </w:tc>
        <w:tc>
          <w:tcPr>
            <w:tcW w:w="3557" w:type="dxa"/>
          </w:tcPr>
          <w:p w14:paraId="5321D619" w14:textId="5B840998" w:rsidR="00243184" w:rsidRPr="0011545B" w:rsidRDefault="002C1F53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БДС EN ISO 3675</w:t>
            </w:r>
          </w:p>
        </w:tc>
      </w:tr>
      <w:tr w:rsidR="0011545B" w:rsidRPr="0011545B" w14:paraId="70EDE1B6" w14:textId="77777777" w:rsidTr="00243184">
        <w:tc>
          <w:tcPr>
            <w:tcW w:w="567" w:type="dxa"/>
          </w:tcPr>
          <w:p w14:paraId="5B02337B" w14:textId="433655CC" w:rsidR="00243184" w:rsidRPr="0011545B" w:rsidRDefault="002C1F53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5475" w:type="dxa"/>
          </w:tcPr>
          <w:p w14:paraId="54308C8E" w14:textId="3E7C06AF" w:rsidR="00243184" w:rsidRPr="0011545B" w:rsidRDefault="002C1F53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 xml:space="preserve">Кинематичен вискозитет при 40 </w:t>
            </w:r>
            <w:r w:rsidRPr="0011545B">
              <w:rPr>
                <w:rFonts w:ascii="Times New Roman" w:hAnsi="Times New Roman"/>
                <w:bCs/>
                <w:sz w:val="22"/>
                <w:szCs w:val="22"/>
              </w:rPr>
              <w:t>˚</w:t>
            </w:r>
            <w:r w:rsidRPr="0011545B">
              <w:rPr>
                <w:rFonts w:cs="Arial"/>
                <w:bCs/>
                <w:sz w:val="22"/>
                <w:szCs w:val="22"/>
              </w:rPr>
              <w:t>С, mm²/s</w:t>
            </w:r>
          </w:p>
        </w:tc>
        <w:tc>
          <w:tcPr>
            <w:tcW w:w="3557" w:type="dxa"/>
          </w:tcPr>
          <w:p w14:paraId="658D1866" w14:textId="59C97246" w:rsidR="00243184" w:rsidRPr="0011545B" w:rsidRDefault="002C1F53" w:rsidP="002C1F53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БДС EN ISO 3104</w:t>
            </w:r>
          </w:p>
        </w:tc>
      </w:tr>
      <w:tr w:rsidR="0011545B" w:rsidRPr="0011545B" w14:paraId="30B7CC79" w14:textId="77777777" w:rsidTr="00243184">
        <w:tc>
          <w:tcPr>
            <w:tcW w:w="567" w:type="dxa"/>
          </w:tcPr>
          <w:p w14:paraId="3DE7DE53" w14:textId="4F0ED152" w:rsidR="00243184" w:rsidRPr="0011545B" w:rsidRDefault="00A84D14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5475" w:type="dxa"/>
          </w:tcPr>
          <w:p w14:paraId="70F8E918" w14:textId="04F1400D" w:rsidR="00243184" w:rsidRPr="0011545B" w:rsidRDefault="003F67BB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Температура на течливост, ºС</w:t>
            </w:r>
          </w:p>
        </w:tc>
        <w:tc>
          <w:tcPr>
            <w:tcW w:w="3557" w:type="dxa"/>
          </w:tcPr>
          <w:p w14:paraId="18131FCD" w14:textId="0D2F009B" w:rsidR="00243184" w:rsidRPr="0011545B" w:rsidRDefault="003F67BB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БДС ISO 3016</w:t>
            </w:r>
          </w:p>
        </w:tc>
      </w:tr>
      <w:tr w:rsidR="0011545B" w:rsidRPr="0011545B" w14:paraId="742DEE3C" w14:textId="77777777" w:rsidTr="00243184">
        <w:tc>
          <w:tcPr>
            <w:tcW w:w="567" w:type="dxa"/>
          </w:tcPr>
          <w:p w14:paraId="1D855378" w14:textId="06810E29" w:rsidR="00243184" w:rsidRPr="0011545B" w:rsidRDefault="00A84D14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5475" w:type="dxa"/>
          </w:tcPr>
          <w:p w14:paraId="162BFEFF" w14:textId="2D23AAD1" w:rsidR="00243184" w:rsidRPr="0011545B" w:rsidRDefault="003F67BB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Неутрализационно число, mg KON/g</w:t>
            </w:r>
          </w:p>
        </w:tc>
        <w:tc>
          <w:tcPr>
            <w:tcW w:w="3557" w:type="dxa"/>
          </w:tcPr>
          <w:p w14:paraId="30E24997" w14:textId="6FFE8FF4" w:rsidR="00243184" w:rsidRPr="0011545B" w:rsidRDefault="003F67BB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  <w:lang w:val="en-US"/>
              </w:rPr>
              <w:t xml:space="preserve">IEC </w:t>
            </w:r>
            <w:r w:rsidRPr="0011545B">
              <w:rPr>
                <w:rFonts w:cs="Arial"/>
                <w:bCs/>
                <w:sz w:val="22"/>
                <w:szCs w:val="22"/>
              </w:rPr>
              <w:t>62021</w:t>
            </w:r>
          </w:p>
        </w:tc>
      </w:tr>
      <w:tr w:rsidR="0011545B" w:rsidRPr="0011545B" w14:paraId="221A2AB4" w14:textId="77777777" w:rsidTr="00243184">
        <w:tc>
          <w:tcPr>
            <w:tcW w:w="567" w:type="dxa"/>
          </w:tcPr>
          <w:p w14:paraId="0E1882B7" w14:textId="2008E66E" w:rsidR="00243184" w:rsidRPr="0011545B" w:rsidRDefault="00A84D14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5475" w:type="dxa"/>
          </w:tcPr>
          <w:p w14:paraId="21195F79" w14:textId="10FB6BDF" w:rsidR="00672238" w:rsidRPr="0011545B" w:rsidRDefault="00672238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 xml:space="preserve">Съдържание на халогени (АОХ) </w:t>
            </w:r>
            <w:r w:rsidRPr="0011545B">
              <w:rPr>
                <w:rFonts w:cs="Arial"/>
                <w:bCs/>
                <w:sz w:val="22"/>
                <w:szCs w:val="22"/>
                <w:lang w:val="en-US"/>
              </w:rPr>
              <w:t>mg/kg</w:t>
            </w:r>
          </w:p>
        </w:tc>
        <w:tc>
          <w:tcPr>
            <w:tcW w:w="3557" w:type="dxa"/>
          </w:tcPr>
          <w:p w14:paraId="6570592E" w14:textId="3D11C2CB" w:rsidR="00243184" w:rsidRPr="0011545B" w:rsidRDefault="00736185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БДС EN ISO 9562</w:t>
            </w:r>
            <w:r w:rsidRPr="0011545B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 w:rsidRPr="0011545B">
              <w:rPr>
                <w:rFonts w:cs="Arial"/>
                <w:bCs/>
                <w:sz w:val="22"/>
                <w:szCs w:val="22"/>
              </w:rPr>
              <w:t xml:space="preserve">или ASTM D4929 или приложение А на </w:t>
            </w:r>
            <w:r w:rsidRPr="0011545B">
              <w:rPr>
                <w:rFonts w:cs="Arial"/>
                <w:bCs/>
                <w:sz w:val="22"/>
                <w:szCs w:val="22"/>
                <w:lang w:val="en-US"/>
              </w:rPr>
              <w:t>IEC</w:t>
            </w:r>
            <w:r w:rsidRPr="0011545B">
              <w:rPr>
                <w:rFonts w:cs="Arial"/>
                <w:bCs/>
                <w:sz w:val="22"/>
                <w:szCs w:val="22"/>
              </w:rPr>
              <w:t xml:space="preserve"> 60867</w:t>
            </w:r>
          </w:p>
        </w:tc>
      </w:tr>
      <w:tr w:rsidR="0011545B" w:rsidRPr="0011545B" w14:paraId="14499403" w14:textId="77777777" w:rsidTr="00243184">
        <w:tc>
          <w:tcPr>
            <w:tcW w:w="567" w:type="dxa"/>
          </w:tcPr>
          <w:p w14:paraId="14EFF9AB" w14:textId="107CD1E5" w:rsidR="00243184" w:rsidRPr="0011545B" w:rsidRDefault="00A84D14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7</w:t>
            </w:r>
          </w:p>
        </w:tc>
        <w:tc>
          <w:tcPr>
            <w:tcW w:w="5475" w:type="dxa"/>
          </w:tcPr>
          <w:p w14:paraId="60E511EE" w14:textId="7343B547" w:rsidR="00243184" w:rsidRPr="0011545B" w:rsidRDefault="00736185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Съдържание на вода, mg/kg</w:t>
            </w:r>
          </w:p>
        </w:tc>
        <w:tc>
          <w:tcPr>
            <w:tcW w:w="3557" w:type="dxa"/>
          </w:tcPr>
          <w:p w14:paraId="4EEDCFCC" w14:textId="588A10AD" w:rsidR="00243184" w:rsidRPr="0011545B" w:rsidRDefault="00736185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БДС EN 60814</w:t>
            </w:r>
          </w:p>
        </w:tc>
      </w:tr>
      <w:tr w:rsidR="0011545B" w:rsidRPr="0011545B" w14:paraId="48F29254" w14:textId="77777777" w:rsidTr="00243184">
        <w:tc>
          <w:tcPr>
            <w:tcW w:w="567" w:type="dxa"/>
          </w:tcPr>
          <w:p w14:paraId="6C555C01" w14:textId="1F8D000E" w:rsidR="00736185" w:rsidRPr="0011545B" w:rsidRDefault="00A84D14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5475" w:type="dxa"/>
          </w:tcPr>
          <w:p w14:paraId="21B77964" w14:textId="32CC57DF" w:rsidR="00736185" w:rsidRPr="0011545B" w:rsidRDefault="00736185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 xml:space="preserve">Корозивна сяра </w:t>
            </w:r>
          </w:p>
        </w:tc>
        <w:tc>
          <w:tcPr>
            <w:tcW w:w="3557" w:type="dxa"/>
          </w:tcPr>
          <w:p w14:paraId="16B8C1E1" w14:textId="6FF01309" w:rsidR="00736185" w:rsidRPr="0011545B" w:rsidRDefault="008E4E29" w:rsidP="005F4FDD">
            <w:pPr>
              <w:jc w:val="both"/>
              <w:rPr>
                <w:rFonts w:cs="Arial"/>
                <w:bCs/>
                <w:sz w:val="22"/>
                <w:szCs w:val="22"/>
                <w:lang w:val="en-US"/>
              </w:rPr>
            </w:pPr>
            <w:r w:rsidRPr="0011545B">
              <w:rPr>
                <w:rFonts w:cs="Arial"/>
                <w:bCs/>
                <w:sz w:val="22"/>
                <w:szCs w:val="22"/>
                <w:lang w:val="en-US"/>
              </w:rPr>
              <w:t>DIN 51353</w:t>
            </w:r>
          </w:p>
        </w:tc>
      </w:tr>
      <w:tr w:rsidR="0011545B" w:rsidRPr="0011545B" w14:paraId="2DA2838A" w14:textId="77777777" w:rsidTr="00243184">
        <w:tc>
          <w:tcPr>
            <w:tcW w:w="567" w:type="dxa"/>
          </w:tcPr>
          <w:p w14:paraId="0C55376B" w14:textId="7F47E5F5" w:rsidR="00736185" w:rsidRPr="0011545B" w:rsidRDefault="00A84D14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9</w:t>
            </w:r>
          </w:p>
        </w:tc>
        <w:tc>
          <w:tcPr>
            <w:tcW w:w="5475" w:type="dxa"/>
          </w:tcPr>
          <w:p w14:paraId="3C3BBC4B" w14:textId="503AD3BE" w:rsidR="00736185" w:rsidRPr="0011545B" w:rsidRDefault="008E4E29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Потенциално корозивна сяра</w:t>
            </w:r>
          </w:p>
        </w:tc>
        <w:tc>
          <w:tcPr>
            <w:tcW w:w="3557" w:type="dxa"/>
          </w:tcPr>
          <w:p w14:paraId="5AB35A78" w14:textId="21D0FBE6" w:rsidR="00736185" w:rsidRPr="0011545B" w:rsidRDefault="008E4E29" w:rsidP="005F4FDD">
            <w:pPr>
              <w:jc w:val="both"/>
              <w:rPr>
                <w:rFonts w:cs="Arial"/>
                <w:bCs/>
                <w:sz w:val="22"/>
                <w:szCs w:val="22"/>
                <w:lang w:val="en-US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 xml:space="preserve">БДС EN  </w:t>
            </w:r>
            <w:r w:rsidRPr="0011545B">
              <w:rPr>
                <w:rFonts w:cs="Arial"/>
                <w:bCs/>
                <w:sz w:val="22"/>
                <w:szCs w:val="22"/>
                <w:lang w:val="en-US"/>
              </w:rPr>
              <w:t>62535</w:t>
            </w:r>
          </w:p>
        </w:tc>
      </w:tr>
      <w:tr w:rsidR="0011545B" w:rsidRPr="0011545B" w14:paraId="7F672A53" w14:textId="77777777" w:rsidTr="00243184">
        <w:tc>
          <w:tcPr>
            <w:tcW w:w="567" w:type="dxa"/>
          </w:tcPr>
          <w:p w14:paraId="7B36CA21" w14:textId="3DE8B2F2" w:rsidR="00736185" w:rsidRPr="0011545B" w:rsidRDefault="00A84D14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5475" w:type="dxa"/>
          </w:tcPr>
          <w:p w14:paraId="7FF543A1" w14:textId="452E7D1E" w:rsidR="00736185" w:rsidRPr="0011545B" w:rsidRDefault="008E4E29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Присадки, %</w:t>
            </w:r>
          </w:p>
        </w:tc>
        <w:tc>
          <w:tcPr>
            <w:tcW w:w="3557" w:type="dxa"/>
          </w:tcPr>
          <w:p w14:paraId="7F306A33" w14:textId="0358FEBD" w:rsidR="00736185" w:rsidRPr="0011545B" w:rsidRDefault="008E4E29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БДС EN 60666</w:t>
            </w:r>
          </w:p>
        </w:tc>
      </w:tr>
      <w:tr w:rsidR="0011545B" w:rsidRPr="0011545B" w14:paraId="49457F31" w14:textId="77777777" w:rsidTr="00243184">
        <w:tc>
          <w:tcPr>
            <w:tcW w:w="567" w:type="dxa"/>
          </w:tcPr>
          <w:p w14:paraId="10BB462D" w14:textId="7C83DC3D" w:rsidR="00736185" w:rsidRPr="0011545B" w:rsidRDefault="00A84D14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11</w:t>
            </w:r>
          </w:p>
        </w:tc>
        <w:tc>
          <w:tcPr>
            <w:tcW w:w="5475" w:type="dxa"/>
          </w:tcPr>
          <w:p w14:paraId="7B7FD734" w14:textId="56636F40" w:rsidR="00736185" w:rsidRPr="0011545B" w:rsidRDefault="00A16CB7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 xml:space="preserve">Пробивно напрежение, </w:t>
            </w:r>
            <w:r w:rsidRPr="0011545B">
              <w:rPr>
                <w:rFonts w:cs="Arial"/>
              </w:rPr>
              <w:t>kV</w:t>
            </w:r>
            <w:r w:rsidRPr="0011545B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57" w:type="dxa"/>
          </w:tcPr>
          <w:p w14:paraId="726FE232" w14:textId="4C5AA434" w:rsidR="00736185" w:rsidRPr="0011545B" w:rsidRDefault="00A16CB7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БДС EN 60156</w:t>
            </w:r>
          </w:p>
        </w:tc>
      </w:tr>
      <w:tr w:rsidR="0011545B" w:rsidRPr="0011545B" w14:paraId="0A2C791D" w14:textId="77777777" w:rsidTr="00243184">
        <w:tc>
          <w:tcPr>
            <w:tcW w:w="567" w:type="dxa"/>
          </w:tcPr>
          <w:p w14:paraId="4D6529A9" w14:textId="79F64E2F" w:rsidR="00A16CB7" w:rsidRPr="0011545B" w:rsidRDefault="00A16CB7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12</w:t>
            </w:r>
          </w:p>
        </w:tc>
        <w:tc>
          <w:tcPr>
            <w:tcW w:w="5475" w:type="dxa"/>
          </w:tcPr>
          <w:p w14:paraId="3CFC12D5" w14:textId="73AA2559" w:rsidR="00A16CB7" w:rsidRPr="0011545B" w:rsidRDefault="00A16CB7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Коефициент на диелектричните загуби при 90 ºС (tgδ)</w:t>
            </w:r>
          </w:p>
        </w:tc>
        <w:tc>
          <w:tcPr>
            <w:tcW w:w="3557" w:type="dxa"/>
            <w:vMerge w:val="restart"/>
          </w:tcPr>
          <w:p w14:paraId="2D6B5870" w14:textId="090A897F" w:rsidR="00A16CB7" w:rsidRPr="0011545B" w:rsidRDefault="00A16CB7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БДС EN 60247</w:t>
            </w:r>
          </w:p>
        </w:tc>
      </w:tr>
      <w:tr w:rsidR="0011545B" w:rsidRPr="0011545B" w14:paraId="583972BE" w14:textId="77777777" w:rsidTr="00243184">
        <w:tc>
          <w:tcPr>
            <w:tcW w:w="567" w:type="dxa"/>
          </w:tcPr>
          <w:p w14:paraId="3FF278F2" w14:textId="2BC18728" w:rsidR="00A16CB7" w:rsidRPr="0011545B" w:rsidRDefault="002E1C8C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13</w:t>
            </w:r>
          </w:p>
        </w:tc>
        <w:tc>
          <w:tcPr>
            <w:tcW w:w="5475" w:type="dxa"/>
          </w:tcPr>
          <w:p w14:paraId="5416BF1E" w14:textId="792E5DA8" w:rsidR="00A16CB7" w:rsidRPr="0011545B" w:rsidRDefault="00A16CB7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 xml:space="preserve">Специфично обемно съпротивление </w:t>
            </w:r>
          </w:p>
        </w:tc>
        <w:tc>
          <w:tcPr>
            <w:tcW w:w="3557" w:type="dxa"/>
            <w:vMerge/>
          </w:tcPr>
          <w:p w14:paraId="07AECEA0" w14:textId="77777777" w:rsidR="00A16CB7" w:rsidRPr="0011545B" w:rsidRDefault="00A16CB7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1545B" w:rsidRPr="0011545B" w14:paraId="547D8357" w14:textId="77777777" w:rsidTr="00243184">
        <w:tc>
          <w:tcPr>
            <w:tcW w:w="567" w:type="dxa"/>
          </w:tcPr>
          <w:p w14:paraId="281E6B67" w14:textId="31344A19" w:rsidR="00A16CB7" w:rsidRPr="0011545B" w:rsidRDefault="002E1C8C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14</w:t>
            </w:r>
          </w:p>
        </w:tc>
        <w:tc>
          <w:tcPr>
            <w:tcW w:w="5475" w:type="dxa"/>
          </w:tcPr>
          <w:p w14:paraId="320B14A1" w14:textId="37E716CF" w:rsidR="00A16CB7" w:rsidRPr="0011545B" w:rsidRDefault="00A16CB7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Относителна диелектрична проницаемост</w:t>
            </w:r>
          </w:p>
        </w:tc>
        <w:tc>
          <w:tcPr>
            <w:tcW w:w="3557" w:type="dxa"/>
            <w:vMerge/>
          </w:tcPr>
          <w:p w14:paraId="6E231F87" w14:textId="77777777" w:rsidR="00A16CB7" w:rsidRPr="0011545B" w:rsidRDefault="00A16CB7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1545B" w:rsidRPr="0011545B" w14:paraId="27AD76FB" w14:textId="77777777" w:rsidTr="00243184">
        <w:tc>
          <w:tcPr>
            <w:tcW w:w="567" w:type="dxa"/>
          </w:tcPr>
          <w:p w14:paraId="55FFC3D3" w14:textId="59DEFCC0" w:rsidR="00A16CB7" w:rsidRPr="0011545B" w:rsidRDefault="002E1C8C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15</w:t>
            </w:r>
          </w:p>
        </w:tc>
        <w:tc>
          <w:tcPr>
            <w:tcW w:w="5475" w:type="dxa"/>
          </w:tcPr>
          <w:p w14:paraId="5008521D" w14:textId="05DFC224" w:rsidR="00A16CB7" w:rsidRPr="0011545B" w:rsidRDefault="002D43C7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 xml:space="preserve">Газопоглъщаемост </w:t>
            </w:r>
          </w:p>
        </w:tc>
        <w:tc>
          <w:tcPr>
            <w:tcW w:w="3557" w:type="dxa"/>
          </w:tcPr>
          <w:p w14:paraId="6A4301EB" w14:textId="710933EC" w:rsidR="00A16CB7" w:rsidRPr="0011545B" w:rsidRDefault="002D43C7" w:rsidP="002D43C7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БДС HD 488 S1</w:t>
            </w:r>
            <w:r w:rsidRPr="0011545B">
              <w:t xml:space="preserve"> (</w:t>
            </w:r>
            <w:r w:rsidRPr="0011545B">
              <w:rPr>
                <w:rFonts w:cs="Arial"/>
                <w:bCs/>
                <w:sz w:val="22"/>
                <w:szCs w:val="22"/>
              </w:rPr>
              <w:t>IEC 60628)</w:t>
            </w:r>
          </w:p>
        </w:tc>
      </w:tr>
      <w:tr w:rsidR="0011545B" w:rsidRPr="0011545B" w14:paraId="14F0BEA1" w14:textId="77777777" w:rsidTr="00243184">
        <w:tc>
          <w:tcPr>
            <w:tcW w:w="567" w:type="dxa"/>
          </w:tcPr>
          <w:p w14:paraId="1A3B843E" w14:textId="5BAE4982" w:rsidR="00147F3F" w:rsidRPr="0011545B" w:rsidRDefault="002E1C8C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16</w:t>
            </w:r>
          </w:p>
        </w:tc>
        <w:tc>
          <w:tcPr>
            <w:tcW w:w="5475" w:type="dxa"/>
          </w:tcPr>
          <w:p w14:paraId="784CFBD0" w14:textId="31C1B68B" w:rsidR="00147F3F" w:rsidRPr="0011545B" w:rsidRDefault="00147F3F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Пламна температура, ºС</w:t>
            </w:r>
          </w:p>
        </w:tc>
        <w:tc>
          <w:tcPr>
            <w:tcW w:w="3557" w:type="dxa"/>
          </w:tcPr>
          <w:p w14:paraId="3C654ABB" w14:textId="4483BA59" w:rsidR="00147F3F" w:rsidRPr="0011545B" w:rsidRDefault="00147F3F" w:rsidP="002D43C7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БДС EN ISO 2592</w:t>
            </w:r>
          </w:p>
        </w:tc>
      </w:tr>
      <w:tr w:rsidR="0011545B" w:rsidRPr="0011545B" w14:paraId="1D7B47D8" w14:textId="77777777" w:rsidTr="00243184">
        <w:tc>
          <w:tcPr>
            <w:tcW w:w="567" w:type="dxa"/>
          </w:tcPr>
          <w:p w14:paraId="28D4CAE2" w14:textId="3E6DBEA3" w:rsidR="00584C03" w:rsidRPr="0011545B" w:rsidRDefault="00584C03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17</w:t>
            </w:r>
          </w:p>
        </w:tc>
        <w:tc>
          <w:tcPr>
            <w:tcW w:w="5475" w:type="dxa"/>
          </w:tcPr>
          <w:p w14:paraId="06780F28" w14:textId="53616E02" w:rsidR="00584C03" w:rsidRPr="0011545B" w:rsidRDefault="00584C03" w:rsidP="005F4FDD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Пламна температура, ºС</w:t>
            </w:r>
          </w:p>
        </w:tc>
        <w:tc>
          <w:tcPr>
            <w:tcW w:w="3557" w:type="dxa"/>
          </w:tcPr>
          <w:p w14:paraId="46EA16D8" w14:textId="5987F7F2" w:rsidR="00584C03" w:rsidRPr="0011545B" w:rsidRDefault="00584C03" w:rsidP="002D43C7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11545B">
              <w:rPr>
                <w:rFonts w:cs="Arial"/>
                <w:bCs/>
                <w:sz w:val="22"/>
                <w:szCs w:val="22"/>
              </w:rPr>
              <w:t>БДС EN ISO 2719</w:t>
            </w:r>
          </w:p>
        </w:tc>
      </w:tr>
    </w:tbl>
    <w:p w14:paraId="0D29176A" w14:textId="77777777" w:rsidR="00631340" w:rsidRPr="0011545B" w:rsidRDefault="00631340" w:rsidP="00631340">
      <w:pPr>
        <w:autoSpaceDE w:val="0"/>
        <w:autoSpaceDN w:val="0"/>
        <w:adjustRightInd w:val="0"/>
        <w:ind w:right="-16"/>
        <w:jc w:val="both"/>
        <w:rPr>
          <w:rFonts w:cs="Arial"/>
          <w:i/>
          <w:sz w:val="22"/>
          <w:szCs w:val="22"/>
          <w:lang w:eastAsia="en-US"/>
        </w:rPr>
      </w:pPr>
      <w:r w:rsidRPr="0011545B">
        <w:rPr>
          <w:rFonts w:cs="Arial"/>
          <w:i/>
          <w:sz w:val="22"/>
          <w:szCs w:val="22"/>
          <w:lang w:eastAsia="en-US"/>
        </w:rPr>
        <w:t>Забележка: Навсякъде, където в изискванията от техническата спецификация е посочен конкретен стандарт, спецификация, техническа оценка, техническо одобрение, технически еталон, конкретен модел, търговска марка, патент, източник, специфичен процес, тип, конкретен произход или производство да се счита добавено „или еквивалентно/и“.</w:t>
      </w:r>
    </w:p>
    <w:p w14:paraId="70E476FD" w14:textId="77777777" w:rsidR="00243184" w:rsidRPr="0011545B" w:rsidRDefault="00243184" w:rsidP="005F4FDD">
      <w:pPr>
        <w:jc w:val="both"/>
        <w:rPr>
          <w:rFonts w:cs="Arial"/>
          <w:bCs/>
          <w:sz w:val="22"/>
          <w:szCs w:val="22"/>
        </w:rPr>
      </w:pPr>
    </w:p>
    <w:p w14:paraId="248AEF50" w14:textId="752E8FDA" w:rsidR="00AA74C5" w:rsidRPr="00586D5F" w:rsidRDefault="00C07F53" w:rsidP="00586D5F">
      <w:pPr>
        <w:pStyle w:val="ListParagraph"/>
        <w:numPr>
          <w:ilvl w:val="0"/>
          <w:numId w:val="39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определяне на достатъчния минимален обем показатели за текущ експлоатационен анализ на маслото и граничните стойности на всеки от определените показатели;</w:t>
      </w:r>
    </w:p>
    <w:p w14:paraId="0ADEF3AC" w14:textId="56F9A689" w:rsidR="00C07F53" w:rsidRPr="00586D5F" w:rsidRDefault="0000408F" w:rsidP="00586D5F">
      <w:pPr>
        <w:pStyle w:val="ListParagraph"/>
        <w:numPr>
          <w:ilvl w:val="0"/>
          <w:numId w:val="39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на база направените анализи, предоставяне информация за подходящ продукт – кабелно масло за доливане.</w:t>
      </w:r>
    </w:p>
    <w:p w14:paraId="29BF4C8E" w14:textId="5105DE7F" w:rsidR="00AA74C5" w:rsidRPr="0011545B" w:rsidRDefault="00E103BF" w:rsidP="005F4FDD">
      <w:pPr>
        <w:jc w:val="both"/>
        <w:rPr>
          <w:rFonts w:cs="Arial"/>
          <w:bCs/>
          <w:sz w:val="22"/>
          <w:szCs w:val="22"/>
        </w:rPr>
      </w:pPr>
      <w:r w:rsidRPr="0011545B">
        <w:rPr>
          <w:rFonts w:cs="Arial"/>
          <w:bCs/>
          <w:i/>
          <w:iCs/>
          <w:sz w:val="22"/>
          <w:szCs w:val="22"/>
        </w:rPr>
        <w:t>Забележка: Пробите за анализ се предоставят от Възложителя на изпълнителя по предварително съгласуван между страните ред</w:t>
      </w:r>
      <w:r w:rsidRPr="0011545B">
        <w:rPr>
          <w:rFonts w:cs="Arial"/>
          <w:bCs/>
          <w:sz w:val="22"/>
          <w:szCs w:val="22"/>
        </w:rPr>
        <w:t>.</w:t>
      </w:r>
    </w:p>
    <w:p w14:paraId="5DF1EEDC" w14:textId="77777777" w:rsidR="0021039B" w:rsidRPr="0011545B" w:rsidRDefault="0021039B" w:rsidP="005F4FDD">
      <w:pPr>
        <w:jc w:val="both"/>
        <w:rPr>
          <w:rFonts w:cs="Arial"/>
          <w:bCs/>
          <w:sz w:val="22"/>
          <w:szCs w:val="22"/>
        </w:rPr>
      </w:pPr>
    </w:p>
    <w:p w14:paraId="35452B1F" w14:textId="604C80A6" w:rsidR="0021039B" w:rsidRPr="00586D5F" w:rsidRDefault="0021039B" w:rsidP="0098013B">
      <w:pPr>
        <w:pStyle w:val="ListParagraph"/>
        <w:numPr>
          <w:ilvl w:val="2"/>
          <w:numId w:val="48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Представяне за разглеждане и приемане на методика</w:t>
      </w:r>
      <w:r w:rsidR="00955F0A" w:rsidRPr="00586D5F">
        <w:rPr>
          <w:rFonts w:cs="Arial"/>
          <w:bCs/>
          <w:sz w:val="22"/>
          <w:szCs w:val="22"/>
        </w:rPr>
        <w:t>/и</w:t>
      </w:r>
      <w:r w:rsidRPr="00586D5F">
        <w:rPr>
          <w:rFonts w:cs="Arial"/>
          <w:bCs/>
          <w:sz w:val="22"/>
          <w:szCs w:val="22"/>
        </w:rPr>
        <w:t xml:space="preserve"> за оценка.</w:t>
      </w:r>
    </w:p>
    <w:p w14:paraId="196FD398" w14:textId="2FBAB3F3" w:rsidR="00580D07" w:rsidRPr="00586D5F" w:rsidRDefault="00172974" w:rsidP="0098013B">
      <w:pPr>
        <w:pStyle w:val="ListParagraph"/>
        <w:numPr>
          <w:ilvl w:val="2"/>
          <w:numId w:val="48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 xml:space="preserve">Оценка на експлоатационното състояние и оставащия експлоатационен </w:t>
      </w:r>
      <w:r w:rsidR="00631340" w:rsidRPr="00586D5F">
        <w:rPr>
          <w:rFonts w:cs="Arial"/>
          <w:bCs/>
          <w:sz w:val="22"/>
          <w:szCs w:val="22"/>
        </w:rPr>
        <w:t>ресурс</w:t>
      </w:r>
      <w:r w:rsidRPr="00586D5F">
        <w:rPr>
          <w:rFonts w:cs="Arial"/>
          <w:bCs/>
          <w:sz w:val="22"/>
          <w:szCs w:val="22"/>
        </w:rPr>
        <w:t xml:space="preserve"> на кабела посредством </w:t>
      </w:r>
      <w:r w:rsidR="00955F0A" w:rsidRPr="00586D5F">
        <w:rPr>
          <w:rFonts w:cs="Arial"/>
          <w:bCs/>
          <w:sz w:val="22"/>
          <w:szCs w:val="22"/>
        </w:rPr>
        <w:t>приетата</w:t>
      </w:r>
      <w:r w:rsidRPr="00586D5F">
        <w:rPr>
          <w:rFonts w:cs="Arial"/>
          <w:bCs/>
          <w:sz w:val="22"/>
          <w:szCs w:val="22"/>
        </w:rPr>
        <w:t xml:space="preserve"> </w:t>
      </w:r>
      <w:r w:rsidR="00176E85" w:rsidRPr="00586D5F">
        <w:rPr>
          <w:rFonts w:cs="Arial"/>
          <w:bCs/>
          <w:sz w:val="22"/>
          <w:szCs w:val="22"/>
        </w:rPr>
        <w:t>методика/</w:t>
      </w:r>
      <w:r w:rsidRPr="00586D5F">
        <w:rPr>
          <w:rFonts w:cs="Arial"/>
          <w:bCs/>
          <w:sz w:val="22"/>
          <w:szCs w:val="22"/>
        </w:rPr>
        <w:t>и.</w:t>
      </w:r>
    </w:p>
    <w:p w14:paraId="40F8FBB1" w14:textId="3C90DA5E" w:rsidR="00172974" w:rsidRPr="00586D5F" w:rsidRDefault="00172974" w:rsidP="0098013B">
      <w:pPr>
        <w:pStyle w:val="ListParagraph"/>
        <w:numPr>
          <w:ilvl w:val="2"/>
          <w:numId w:val="48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Изготвяне на цялостен доклад от обследването със заключения</w:t>
      </w:r>
      <w:r w:rsidR="0000408F" w:rsidRPr="00586D5F">
        <w:rPr>
          <w:rFonts w:cs="Arial"/>
          <w:bCs/>
          <w:sz w:val="22"/>
          <w:szCs w:val="22"/>
        </w:rPr>
        <w:t>.</w:t>
      </w:r>
    </w:p>
    <w:p w14:paraId="29BBA9DF" w14:textId="75A3553F" w:rsidR="00C07F53" w:rsidRPr="00586D5F" w:rsidRDefault="00C07F53" w:rsidP="0098013B">
      <w:pPr>
        <w:pStyle w:val="ListParagraph"/>
        <w:numPr>
          <w:ilvl w:val="2"/>
          <w:numId w:val="48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При положи</w:t>
      </w:r>
      <w:r w:rsidR="0000408F" w:rsidRPr="00586D5F">
        <w:rPr>
          <w:rFonts w:cs="Arial"/>
          <w:bCs/>
          <w:sz w:val="22"/>
          <w:szCs w:val="22"/>
        </w:rPr>
        <w:t>телен резултат от обследването, предоставяне на технология за доливане на масло в кабела.</w:t>
      </w:r>
    </w:p>
    <w:p w14:paraId="03E696D2" w14:textId="00C5F55D" w:rsidR="000521B0" w:rsidRPr="00586D5F" w:rsidRDefault="000521B0" w:rsidP="0098013B">
      <w:pPr>
        <w:pStyle w:val="ListParagraph"/>
        <w:numPr>
          <w:ilvl w:val="2"/>
          <w:numId w:val="48"/>
        </w:numPr>
        <w:jc w:val="both"/>
        <w:rPr>
          <w:rFonts w:cs="Arial"/>
          <w:bCs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Необходимата апаратура</w:t>
      </w:r>
      <w:r w:rsidR="00CF481A" w:rsidRPr="00586D5F">
        <w:rPr>
          <w:rFonts w:cs="Arial"/>
          <w:bCs/>
          <w:sz w:val="22"/>
          <w:szCs w:val="22"/>
        </w:rPr>
        <w:t xml:space="preserve"> за изпълнение на дейностите</w:t>
      </w:r>
      <w:r w:rsidRPr="00586D5F">
        <w:rPr>
          <w:rFonts w:cs="Arial"/>
          <w:bCs/>
          <w:sz w:val="22"/>
          <w:szCs w:val="22"/>
        </w:rPr>
        <w:t xml:space="preserve"> се осигурява от Изпълнителя.</w:t>
      </w:r>
    </w:p>
    <w:p w14:paraId="1724EF6D" w14:textId="4EEA2BB6" w:rsidR="00501A3A" w:rsidRPr="00586D5F" w:rsidRDefault="006A4CEE" w:rsidP="0098013B">
      <w:pPr>
        <w:pStyle w:val="ListParagraph"/>
        <w:numPr>
          <w:ilvl w:val="2"/>
          <w:numId w:val="48"/>
        </w:numPr>
        <w:jc w:val="both"/>
        <w:rPr>
          <w:rFonts w:cs="Arial"/>
          <w:sz w:val="22"/>
          <w:szCs w:val="22"/>
        </w:rPr>
      </w:pPr>
      <w:r w:rsidRPr="00586D5F">
        <w:rPr>
          <w:rFonts w:cs="Arial"/>
          <w:bCs/>
          <w:sz w:val="22"/>
          <w:szCs w:val="22"/>
        </w:rPr>
        <w:t>Измерванията и анализите да бъдат извършвани от независими акредитирани лаборатории</w:t>
      </w:r>
      <w:r w:rsidR="00706336" w:rsidRPr="00586D5F">
        <w:rPr>
          <w:rFonts w:cs="Arial"/>
          <w:bCs/>
          <w:sz w:val="22"/>
          <w:szCs w:val="22"/>
          <w:lang w:val="en-US"/>
        </w:rPr>
        <w:t xml:space="preserve"> </w:t>
      </w:r>
      <w:r w:rsidR="00706336" w:rsidRPr="00586D5F">
        <w:rPr>
          <w:rFonts w:cs="Arial"/>
          <w:bCs/>
          <w:sz w:val="22"/>
          <w:szCs w:val="22"/>
        </w:rPr>
        <w:t>съгласно изискванията на</w:t>
      </w:r>
      <w:r w:rsidR="00706336" w:rsidRPr="00586D5F">
        <w:rPr>
          <w:rFonts w:cs="Arial"/>
          <w:bCs/>
          <w:sz w:val="22"/>
          <w:szCs w:val="22"/>
          <w:lang w:val="en-US"/>
        </w:rPr>
        <w:t xml:space="preserve"> </w:t>
      </w:r>
      <w:r w:rsidR="00706336" w:rsidRPr="00586D5F">
        <w:rPr>
          <w:rFonts w:cs="Arial"/>
          <w:sz w:val="22"/>
          <w:szCs w:val="22"/>
        </w:rPr>
        <w:t>БДС EN ISO/IEC 17025:2018 – „Общи изисквания за компетентността на лаборатории за изпитване и калибриране (ISO/IEC 17025:2017)“, или еквивалент.</w:t>
      </w:r>
    </w:p>
    <w:p w14:paraId="652AAB2B" w14:textId="77777777" w:rsidR="00626E35" w:rsidRPr="00626E35" w:rsidRDefault="00626E35" w:rsidP="00626E35">
      <w:pPr>
        <w:jc w:val="both"/>
        <w:rPr>
          <w:rFonts w:cs="Arial"/>
          <w:color w:val="FF0000"/>
          <w:sz w:val="22"/>
          <w:szCs w:val="22"/>
        </w:rPr>
      </w:pPr>
    </w:p>
    <w:p w14:paraId="30746B10" w14:textId="4F4FA18A" w:rsidR="000F3823" w:rsidRPr="00586D5F" w:rsidRDefault="00DA756F" w:rsidP="0098013B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</w:pPr>
      <w:r w:rsidRPr="00586D5F">
        <w:rPr>
          <w:rFonts w:eastAsia="Calibri" w:cs="Arial"/>
          <w:b/>
          <w:sz w:val="22"/>
          <w:szCs w:val="22"/>
          <w:lang w:eastAsia="en-US"/>
        </w:rPr>
        <w:t>Изисквания към услугата за опазване на околната среда и климата</w:t>
      </w:r>
    </w:p>
    <w:p w14:paraId="467CEE21" w14:textId="1CCD49D3" w:rsidR="00105B2D" w:rsidRDefault="00105B2D" w:rsidP="0098013B">
      <w:pPr>
        <w:pStyle w:val="ListParagraph"/>
        <w:numPr>
          <w:ilvl w:val="2"/>
          <w:numId w:val="48"/>
        </w:numPr>
        <w:spacing w:before="120"/>
        <w:jc w:val="both"/>
        <w:rPr>
          <w:rFonts w:cs="Arial"/>
          <w:sz w:val="22"/>
          <w:szCs w:val="22"/>
        </w:rPr>
      </w:pPr>
      <w:r w:rsidRPr="00104920">
        <w:rPr>
          <w:rFonts w:cs="Arial"/>
          <w:sz w:val="22"/>
          <w:szCs w:val="22"/>
        </w:rPr>
        <w:t>Възприетата технология на работа не трябва да допуска образуването на вредни и токсични вещества и субстанции, както и шум и вибрации извън границите на законово и нормативно установените норми.</w:t>
      </w:r>
    </w:p>
    <w:p w14:paraId="17A7A796" w14:textId="358B000E" w:rsidR="004C7FCE" w:rsidRPr="009A279B" w:rsidRDefault="004C7FCE" w:rsidP="0098013B">
      <w:pPr>
        <w:pStyle w:val="ListParagraph"/>
        <w:numPr>
          <w:ilvl w:val="2"/>
          <w:numId w:val="48"/>
        </w:numPr>
        <w:spacing w:before="120"/>
        <w:jc w:val="both"/>
        <w:rPr>
          <w:rFonts w:cs="Arial"/>
          <w:sz w:val="22"/>
          <w:szCs w:val="22"/>
        </w:rPr>
      </w:pPr>
      <w:r w:rsidRPr="00104920">
        <w:rPr>
          <w:rFonts w:cs="Arial"/>
          <w:sz w:val="22"/>
          <w:szCs w:val="22"/>
        </w:rPr>
        <w:t>При възникване на замърсяване Изпълнителят се задължава незабавно да предприеме действия за ограничаване на отрицателните последици по отношение на компонентите на околната среда, като всички разходи са за негова сметка.</w:t>
      </w:r>
    </w:p>
    <w:p w14:paraId="61E37E1E" w14:textId="6F6A3F8E" w:rsidR="005A335F" w:rsidRDefault="005A335F" w:rsidP="001B1ABD">
      <w:pPr>
        <w:spacing w:line="276" w:lineRule="auto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54514ABB" w14:textId="4A60E315" w:rsidR="000F3823" w:rsidRPr="00586D5F" w:rsidRDefault="000F3823" w:rsidP="0098013B">
      <w:pPr>
        <w:pStyle w:val="ListParagraph"/>
        <w:numPr>
          <w:ilvl w:val="1"/>
          <w:numId w:val="48"/>
        </w:numPr>
        <w:spacing w:line="276" w:lineRule="auto"/>
        <w:jc w:val="both"/>
        <w:rPr>
          <w:rFonts w:eastAsia="Calibri" w:cs="Arial"/>
          <w:iCs/>
          <w:sz w:val="22"/>
          <w:szCs w:val="22"/>
          <w:lang w:val="x-none" w:eastAsia="en-US"/>
        </w:rPr>
      </w:pPr>
      <w:r w:rsidRPr="00586D5F">
        <w:rPr>
          <w:rFonts w:eastAsia="Calibri" w:cs="Arial"/>
          <w:b/>
          <w:sz w:val="22"/>
          <w:szCs w:val="22"/>
          <w:lang w:val="x-none" w:eastAsia="en-US"/>
        </w:rPr>
        <w:t xml:space="preserve">Изисквания към </w:t>
      </w:r>
      <w:r w:rsidR="00DA756F" w:rsidRPr="00586D5F">
        <w:rPr>
          <w:rFonts w:eastAsia="Calibri" w:cs="Arial"/>
          <w:b/>
          <w:sz w:val="22"/>
          <w:szCs w:val="22"/>
          <w:lang w:eastAsia="en-US"/>
        </w:rPr>
        <w:t>услугата</w:t>
      </w:r>
      <w:r w:rsidRPr="00586D5F">
        <w:rPr>
          <w:rFonts w:eastAsia="Calibri" w:cs="Arial"/>
          <w:b/>
          <w:sz w:val="22"/>
          <w:szCs w:val="22"/>
          <w:lang w:val="x-none" w:eastAsia="en-US"/>
        </w:rPr>
        <w:t xml:space="preserve"> за осигуряване на здравословни и безопасни условия на труд</w:t>
      </w:r>
    </w:p>
    <w:p w14:paraId="36E67B09" w14:textId="6D3E8EBB" w:rsidR="005E0459" w:rsidRDefault="005E0459" w:rsidP="00BA3273">
      <w:pPr>
        <w:jc w:val="both"/>
        <w:rPr>
          <w:rFonts w:cs="Arial"/>
          <w:bCs/>
          <w:color w:val="000000"/>
          <w:sz w:val="22"/>
          <w:szCs w:val="22"/>
        </w:rPr>
      </w:pPr>
      <w:r w:rsidRPr="005E0459">
        <w:rPr>
          <w:rFonts w:cs="Arial"/>
          <w:bCs/>
          <w:color w:val="000000"/>
          <w:sz w:val="22"/>
          <w:szCs w:val="22"/>
        </w:rPr>
        <w:t>Възложителят трябва да осигури здравословни и безопасни условия на труд (ЗБУТ), съгласно изискванията на нормативните документи по ЗБУТ и пожарната безопасност при извършване на строителни и монтажни работи</w:t>
      </w:r>
      <w:r w:rsidR="00777E0D">
        <w:rPr>
          <w:rFonts w:cs="Arial"/>
          <w:bCs/>
          <w:color w:val="000000"/>
          <w:sz w:val="22"/>
          <w:szCs w:val="22"/>
        </w:rPr>
        <w:t>.</w:t>
      </w:r>
    </w:p>
    <w:p w14:paraId="456E843C" w14:textId="77777777" w:rsidR="00777E0D" w:rsidRPr="00777E0D" w:rsidRDefault="00777E0D" w:rsidP="00777E0D">
      <w:pPr>
        <w:pStyle w:val="ListParagraph"/>
        <w:ind w:left="0"/>
        <w:jc w:val="both"/>
        <w:rPr>
          <w:rFonts w:cs="Arial"/>
          <w:bCs/>
          <w:color w:val="000000"/>
          <w:sz w:val="22"/>
          <w:szCs w:val="22"/>
        </w:rPr>
      </w:pPr>
      <w:bookmarkStart w:id="2" w:name="_Hlk112312963"/>
      <w:r w:rsidRPr="00777E0D">
        <w:rPr>
          <w:rFonts w:cs="Arial"/>
          <w:bCs/>
          <w:color w:val="000000"/>
          <w:sz w:val="22"/>
          <w:szCs w:val="22"/>
        </w:rPr>
        <w:t>При извършване на дейностите по изпълнението на поръчката, Изпълнителят е длъжен да спазва разпоредбите на нормативните актове, действащи в Република България, относно здравословните и безопасни условия на труд и произтичащите от тях задължения за него:</w:t>
      </w:r>
    </w:p>
    <w:p w14:paraId="3BD3D05C" w14:textId="77777777" w:rsidR="00777E0D" w:rsidRPr="00777E0D" w:rsidRDefault="00777E0D" w:rsidP="00777E0D">
      <w:pPr>
        <w:pStyle w:val="ListParagraph"/>
        <w:ind w:left="0"/>
        <w:jc w:val="both"/>
        <w:rPr>
          <w:rFonts w:cs="Arial"/>
          <w:bCs/>
          <w:color w:val="000000"/>
          <w:sz w:val="22"/>
          <w:szCs w:val="22"/>
        </w:rPr>
      </w:pPr>
      <w:r w:rsidRPr="00777E0D">
        <w:rPr>
          <w:rFonts w:cs="Arial"/>
          <w:bCs/>
          <w:color w:val="000000"/>
          <w:sz w:val="22"/>
          <w:szCs w:val="22"/>
        </w:rPr>
        <w:t>- Закона за здравословни и безопасни условия на труд;</w:t>
      </w:r>
    </w:p>
    <w:p w14:paraId="47ED2134" w14:textId="77777777" w:rsidR="00777E0D" w:rsidRPr="00777E0D" w:rsidRDefault="00777E0D" w:rsidP="00777E0D">
      <w:pPr>
        <w:pStyle w:val="ListParagraph"/>
        <w:ind w:left="0"/>
        <w:jc w:val="both"/>
        <w:rPr>
          <w:rFonts w:cs="Arial"/>
          <w:bCs/>
          <w:color w:val="000000"/>
          <w:sz w:val="22"/>
          <w:szCs w:val="22"/>
        </w:rPr>
      </w:pPr>
      <w:r w:rsidRPr="00777E0D">
        <w:rPr>
          <w:rFonts w:cs="Arial"/>
          <w:bCs/>
          <w:color w:val="000000"/>
          <w:sz w:val="22"/>
          <w:szCs w:val="22"/>
        </w:rPr>
        <w:t>- 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труд;</w:t>
      </w:r>
    </w:p>
    <w:p w14:paraId="6F1FA22D" w14:textId="77777777" w:rsidR="00777E0D" w:rsidRPr="00777E0D" w:rsidRDefault="00777E0D" w:rsidP="00777E0D">
      <w:pPr>
        <w:pStyle w:val="ListParagraph"/>
        <w:ind w:left="0"/>
        <w:jc w:val="both"/>
        <w:rPr>
          <w:rFonts w:cs="Arial"/>
          <w:bCs/>
          <w:color w:val="000000"/>
          <w:sz w:val="22"/>
          <w:szCs w:val="22"/>
        </w:rPr>
      </w:pPr>
      <w:r w:rsidRPr="00777E0D">
        <w:rPr>
          <w:rFonts w:cs="Arial"/>
          <w:bCs/>
          <w:color w:val="000000"/>
          <w:sz w:val="22"/>
          <w:szCs w:val="22"/>
        </w:rPr>
        <w:t>- НАРЕДБА № 2 от 22.03.2004 г. за минималните изисквания за здравословни и безопасни условия на труд при извършване на строителни и монтажни работи;</w:t>
      </w:r>
    </w:p>
    <w:p w14:paraId="573D130A" w14:textId="77777777" w:rsidR="00777E0D" w:rsidRPr="00777E0D" w:rsidRDefault="00777E0D" w:rsidP="00777E0D">
      <w:pPr>
        <w:pStyle w:val="ListParagraph"/>
        <w:ind w:left="0"/>
        <w:jc w:val="both"/>
        <w:rPr>
          <w:rFonts w:cs="Arial"/>
          <w:bCs/>
          <w:color w:val="000000"/>
          <w:sz w:val="22"/>
          <w:szCs w:val="22"/>
        </w:rPr>
      </w:pPr>
      <w:r w:rsidRPr="00777E0D">
        <w:rPr>
          <w:rFonts w:cs="Arial"/>
          <w:bCs/>
          <w:color w:val="000000"/>
          <w:sz w:val="22"/>
          <w:szCs w:val="22"/>
        </w:rPr>
        <w:t>- НАРЕДБА № 9 от 9.06.2004 г. за техническата експлоатация на електрически централи и мрежи, издадена от министъра на енергетиката и енергийните ресурси, както и Закон за здравословни и безопасни условия на труд;</w:t>
      </w:r>
    </w:p>
    <w:p w14:paraId="6553BAF6" w14:textId="5D105D78" w:rsidR="00777E0D" w:rsidRDefault="00777E0D" w:rsidP="00777E0D">
      <w:pPr>
        <w:pStyle w:val="ListParagraph"/>
        <w:ind w:left="0"/>
        <w:jc w:val="both"/>
        <w:rPr>
          <w:rFonts w:cs="Arial"/>
          <w:bCs/>
          <w:color w:val="000000"/>
          <w:sz w:val="22"/>
          <w:szCs w:val="22"/>
        </w:rPr>
      </w:pPr>
      <w:r w:rsidRPr="00777E0D">
        <w:rPr>
          <w:rFonts w:cs="Arial"/>
          <w:bCs/>
          <w:color w:val="000000"/>
          <w:sz w:val="22"/>
          <w:szCs w:val="22"/>
        </w:rPr>
        <w:t>- Правилник за безопасност при работа в електрически уредби на електрически и топлофикационни централи и по електрически мрежи.</w:t>
      </w:r>
    </w:p>
    <w:p w14:paraId="7295A5D0" w14:textId="75C8B97A" w:rsidR="00777E0D" w:rsidRPr="00586D5F" w:rsidRDefault="00777E0D" w:rsidP="00777E0D">
      <w:pPr>
        <w:pStyle w:val="ListParagraph"/>
        <w:ind w:left="0"/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- </w:t>
      </w:r>
      <w:r w:rsidRPr="00586D5F">
        <w:rPr>
          <w:rFonts w:cs="Arial"/>
          <w:bCs/>
          <w:color w:val="000000"/>
          <w:sz w:val="22"/>
          <w:szCs w:val="22"/>
        </w:rPr>
        <w:t>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съоръжения;</w:t>
      </w:r>
    </w:p>
    <w:bookmarkEnd w:id="2"/>
    <w:p w14:paraId="632AF3FC" w14:textId="77777777" w:rsidR="007A27B0" w:rsidRPr="007A27B0" w:rsidRDefault="007A27B0" w:rsidP="007A27B0">
      <w:pPr>
        <w:jc w:val="both"/>
        <w:rPr>
          <w:rFonts w:cs="Arial"/>
          <w:bCs/>
          <w:color w:val="000000"/>
          <w:sz w:val="22"/>
          <w:szCs w:val="22"/>
        </w:rPr>
      </w:pPr>
    </w:p>
    <w:p w14:paraId="7BA60BA7" w14:textId="14623780" w:rsidR="000F3823" w:rsidRPr="00586D5F" w:rsidRDefault="000F3823" w:rsidP="0098013B">
      <w:pPr>
        <w:pStyle w:val="ListParagraph"/>
        <w:numPr>
          <w:ilvl w:val="1"/>
          <w:numId w:val="48"/>
        </w:numPr>
        <w:spacing w:line="276" w:lineRule="auto"/>
        <w:jc w:val="both"/>
        <w:rPr>
          <w:rFonts w:eastAsia="Calibri" w:cs="Arial"/>
          <w:iCs/>
          <w:sz w:val="22"/>
          <w:szCs w:val="22"/>
          <w:lang w:val="x-none" w:eastAsia="en-US"/>
        </w:rPr>
      </w:pPr>
      <w:r w:rsidRPr="00586D5F">
        <w:rPr>
          <w:rFonts w:eastAsia="Calibri" w:cs="Arial"/>
          <w:b/>
          <w:sz w:val="22"/>
          <w:szCs w:val="22"/>
          <w:lang w:val="x-none" w:eastAsia="en-US"/>
        </w:rPr>
        <w:t>Гаранционен срок и други гаранционни условия</w:t>
      </w:r>
    </w:p>
    <w:p w14:paraId="0E8C3CD4" w14:textId="698B7598" w:rsidR="00DA756F" w:rsidRPr="00C550A5" w:rsidRDefault="00E61F45" w:rsidP="00DA756F">
      <w:pPr>
        <w:jc w:val="both"/>
        <w:rPr>
          <w:rFonts w:cs="Arial"/>
          <w:b/>
          <w:strike/>
          <w:sz w:val="22"/>
          <w:szCs w:val="22"/>
        </w:rPr>
      </w:pPr>
      <w:bookmarkStart w:id="3" w:name="_Hlk15630881"/>
      <w:r>
        <w:rPr>
          <w:rFonts w:cs="Arial"/>
          <w:sz w:val="22"/>
          <w:szCs w:val="22"/>
        </w:rPr>
        <w:t>Неприложимо към предмета на поръчката.</w:t>
      </w:r>
    </w:p>
    <w:p w14:paraId="3AACDB44" w14:textId="77777777" w:rsidR="001B1ABD" w:rsidRDefault="001B1ABD" w:rsidP="001B1ABD">
      <w:pPr>
        <w:jc w:val="both"/>
        <w:rPr>
          <w:rFonts w:cs="Arial"/>
          <w:sz w:val="22"/>
          <w:szCs w:val="22"/>
        </w:rPr>
      </w:pPr>
    </w:p>
    <w:p w14:paraId="74B12FCA" w14:textId="77777777" w:rsidR="00586D5F" w:rsidRPr="00607C60" w:rsidRDefault="00586D5F" w:rsidP="001B1ABD">
      <w:pPr>
        <w:jc w:val="both"/>
        <w:rPr>
          <w:rFonts w:cs="Arial"/>
          <w:sz w:val="22"/>
          <w:szCs w:val="22"/>
        </w:rPr>
      </w:pPr>
    </w:p>
    <w:bookmarkEnd w:id="3"/>
    <w:p w14:paraId="1E268E4B" w14:textId="04BA9A0D" w:rsidR="000F3823" w:rsidRPr="00586D5F" w:rsidRDefault="000F3823" w:rsidP="0098013B">
      <w:pPr>
        <w:pStyle w:val="ListParagraph"/>
        <w:numPr>
          <w:ilvl w:val="0"/>
          <w:numId w:val="48"/>
        </w:numPr>
        <w:spacing w:line="360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586D5F">
        <w:rPr>
          <w:rFonts w:eastAsia="Calibri" w:cs="Arial"/>
          <w:b/>
          <w:sz w:val="22"/>
          <w:szCs w:val="22"/>
          <w:lang w:val="x-none" w:eastAsia="en-US"/>
        </w:rPr>
        <w:t>УСЛОВИЯ ЗА ИЗПЪЛНЕНИЕ НА ПОРЪЧКАТА</w:t>
      </w:r>
    </w:p>
    <w:p w14:paraId="19730C65" w14:textId="2FE8E83C" w:rsidR="000F3823" w:rsidRPr="00586D5F" w:rsidRDefault="000F3823" w:rsidP="0098013B">
      <w:pPr>
        <w:pStyle w:val="ListParagraph"/>
        <w:keepNext/>
        <w:numPr>
          <w:ilvl w:val="1"/>
          <w:numId w:val="48"/>
        </w:numPr>
        <w:spacing w:line="276" w:lineRule="auto"/>
        <w:jc w:val="both"/>
        <w:rPr>
          <w:rFonts w:eastAsia="Calibri" w:cs="Arial"/>
          <w:b/>
          <w:sz w:val="22"/>
          <w:szCs w:val="22"/>
          <w:lang w:eastAsia="en-US"/>
        </w:rPr>
      </w:pPr>
      <w:r w:rsidRPr="00586D5F">
        <w:rPr>
          <w:rFonts w:eastAsia="Calibri" w:cs="Arial"/>
          <w:b/>
          <w:sz w:val="22"/>
          <w:szCs w:val="22"/>
          <w:lang w:val="x-none" w:eastAsia="en-US"/>
        </w:rPr>
        <w:t>Срок</w:t>
      </w:r>
      <w:r w:rsidR="00DA756F" w:rsidRPr="00586D5F">
        <w:rPr>
          <w:rFonts w:eastAsia="Calibri" w:cs="Arial"/>
          <w:b/>
          <w:sz w:val="22"/>
          <w:szCs w:val="22"/>
          <w:lang w:eastAsia="en-US"/>
        </w:rPr>
        <w:t xml:space="preserve"> и условия към срока на изпълнение</w:t>
      </w:r>
    </w:p>
    <w:p w14:paraId="2951F76B" w14:textId="6D0C7D06" w:rsidR="00EF0678" w:rsidRDefault="002D3C39" w:rsidP="00A50D10">
      <w:pPr>
        <w:jc w:val="both"/>
        <w:rPr>
          <w:rFonts w:cs="Arial"/>
          <w:bCs/>
          <w:color w:val="000000"/>
          <w:sz w:val="22"/>
          <w:szCs w:val="22"/>
        </w:rPr>
      </w:pPr>
      <w:r w:rsidRPr="002D3C39">
        <w:rPr>
          <w:rFonts w:cs="Arial"/>
          <w:bCs/>
          <w:color w:val="000000"/>
          <w:sz w:val="22"/>
          <w:szCs w:val="22"/>
        </w:rPr>
        <w:t xml:space="preserve">Срокът за изпълнение </w:t>
      </w:r>
      <w:r w:rsidR="003E556A">
        <w:rPr>
          <w:rFonts w:cs="Arial"/>
          <w:bCs/>
          <w:color w:val="000000"/>
          <w:sz w:val="22"/>
          <w:szCs w:val="22"/>
        </w:rPr>
        <w:t xml:space="preserve">на поръчката </w:t>
      </w:r>
      <w:r w:rsidRPr="002D3C39">
        <w:rPr>
          <w:rFonts w:cs="Arial"/>
          <w:bCs/>
          <w:color w:val="000000"/>
          <w:sz w:val="22"/>
          <w:szCs w:val="22"/>
        </w:rPr>
        <w:t xml:space="preserve">е </w:t>
      </w:r>
      <w:r w:rsidR="003E556A">
        <w:rPr>
          <w:rFonts w:cs="Arial"/>
          <w:bCs/>
          <w:color w:val="000000"/>
          <w:sz w:val="22"/>
          <w:szCs w:val="22"/>
        </w:rPr>
        <w:t xml:space="preserve">не повече </w:t>
      </w:r>
      <w:r w:rsidR="003E556A" w:rsidRPr="005B305F">
        <w:rPr>
          <w:rFonts w:cs="Arial"/>
          <w:bCs/>
          <w:color w:val="000000"/>
          <w:sz w:val="22"/>
          <w:szCs w:val="22"/>
        </w:rPr>
        <w:t>от</w:t>
      </w:r>
      <w:r w:rsidRPr="005B305F">
        <w:rPr>
          <w:rFonts w:cs="Arial"/>
          <w:bCs/>
          <w:color w:val="000000"/>
          <w:sz w:val="22"/>
          <w:szCs w:val="22"/>
        </w:rPr>
        <w:t xml:space="preserve"> </w:t>
      </w:r>
      <w:r w:rsidR="00F53EC9" w:rsidRPr="005B305F">
        <w:rPr>
          <w:rFonts w:cs="Arial"/>
          <w:bCs/>
          <w:color w:val="000000"/>
          <w:sz w:val="22"/>
          <w:szCs w:val="22"/>
        </w:rPr>
        <w:t>8</w:t>
      </w:r>
      <w:r w:rsidR="00621D59" w:rsidRPr="005B305F">
        <w:rPr>
          <w:rFonts w:cs="Arial"/>
          <w:bCs/>
          <w:color w:val="000000"/>
          <w:sz w:val="22"/>
          <w:szCs w:val="22"/>
        </w:rPr>
        <w:t xml:space="preserve"> месеца</w:t>
      </w:r>
      <w:r w:rsidRPr="002D3C39">
        <w:rPr>
          <w:rFonts w:cs="Arial"/>
          <w:bCs/>
          <w:color w:val="000000"/>
          <w:sz w:val="22"/>
          <w:szCs w:val="22"/>
        </w:rPr>
        <w:t>, считано от датата на сключване на договора</w:t>
      </w:r>
      <w:r w:rsidR="00F53EC9">
        <w:rPr>
          <w:rFonts w:cs="Arial"/>
          <w:bCs/>
          <w:color w:val="000000"/>
          <w:sz w:val="22"/>
          <w:szCs w:val="22"/>
        </w:rPr>
        <w:t xml:space="preserve">, като </w:t>
      </w:r>
      <w:r w:rsidR="009D30FD">
        <w:rPr>
          <w:rFonts w:cs="Arial"/>
          <w:bCs/>
          <w:color w:val="000000"/>
          <w:sz w:val="22"/>
          <w:szCs w:val="22"/>
        </w:rPr>
        <w:t>изпълнението е поетапно.</w:t>
      </w:r>
    </w:p>
    <w:p w14:paraId="79288445" w14:textId="77777777" w:rsidR="005303F3" w:rsidRDefault="005303F3" w:rsidP="00A50D10">
      <w:pPr>
        <w:jc w:val="both"/>
        <w:rPr>
          <w:rFonts w:cs="Arial"/>
          <w:bCs/>
          <w:color w:val="000000"/>
          <w:sz w:val="22"/>
          <w:szCs w:val="22"/>
        </w:rPr>
      </w:pPr>
    </w:p>
    <w:p w14:paraId="2669A347" w14:textId="77777777" w:rsidR="008B308E" w:rsidRPr="006523FE" w:rsidRDefault="00F53EC9" w:rsidP="008B308E">
      <w:pPr>
        <w:pStyle w:val="ListParagraph"/>
        <w:numPr>
          <w:ilvl w:val="2"/>
          <w:numId w:val="28"/>
        </w:numPr>
        <w:jc w:val="both"/>
        <w:rPr>
          <w:rFonts w:cs="Arial"/>
          <w:b/>
          <w:color w:val="000000"/>
          <w:sz w:val="22"/>
          <w:szCs w:val="22"/>
        </w:rPr>
      </w:pPr>
      <w:r w:rsidRPr="006523FE">
        <w:rPr>
          <w:rFonts w:cs="Arial"/>
          <w:b/>
          <w:color w:val="000000"/>
          <w:sz w:val="22"/>
          <w:szCs w:val="22"/>
        </w:rPr>
        <w:t>Пър</w:t>
      </w:r>
      <w:r w:rsidR="008B308E" w:rsidRPr="006523FE">
        <w:rPr>
          <w:rFonts w:cs="Arial"/>
          <w:b/>
          <w:color w:val="000000"/>
          <w:sz w:val="22"/>
          <w:szCs w:val="22"/>
        </w:rPr>
        <w:t>ви</w:t>
      </w:r>
      <w:r w:rsidRPr="006523FE">
        <w:rPr>
          <w:rFonts w:cs="Arial"/>
          <w:b/>
          <w:color w:val="000000"/>
          <w:sz w:val="22"/>
          <w:szCs w:val="22"/>
        </w:rPr>
        <w:t xml:space="preserve"> етап</w:t>
      </w:r>
      <w:r w:rsidR="008B308E" w:rsidRPr="006523FE">
        <w:rPr>
          <w:rFonts w:cs="Arial"/>
          <w:b/>
          <w:color w:val="000000"/>
          <w:sz w:val="22"/>
          <w:szCs w:val="22"/>
        </w:rPr>
        <w:t>:</w:t>
      </w:r>
    </w:p>
    <w:p w14:paraId="11C15B1D" w14:textId="0A414509" w:rsidR="008B308E" w:rsidRPr="008B308E" w:rsidRDefault="00F53EC9" w:rsidP="008B308E">
      <w:pPr>
        <w:jc w:val="both"/>
        <w:rPr>
          <w:rFonts w:cs="Arial"/>
          <w:bCs/>
          <w:color w:val="000000"/>
          <w:sz w:val="22"/>
          <w:szCs w:val="22"/>
        </w:rPr>
      </w:pPr>
      <w:r w:rsidRPr="008B308E">
        <w:rPr>
          <w:rFonts w:cs="Arial"/>
          <w:bCs/>
          <w:color w:val="000000"/>
          <w:sz w:val="22"/>
          <w:szCs w:val="22"/>
        </w:rPr>
        <w:t xml:space="preserve">- </w:t>
      </w:r>
      <w:r w:rsidR="008B308E" w:rsidRPr="008B308E">
        <w:rPr>
          <w:rFonts w:cs="Arial"/>
          <w:bCs/>
          <w:color w:val="000000"/>
          <w:sz w:val="22"/>
          <w:szCs w:val="22"/>
        </w:rPr>
        <w:t xml:space="preserve">в срок от не повече от </w:t>
      </w:r>
      <w:r w:rsidR="008B308E">
        <w:rPr>
          <w:rFonts w:cs="Arial"/>
          <w:bCs/>
          <w:color w:val="000000"/>
          <w:sz w:val="22"/>
          <w:szCs w:val="22"/>
        </w:rPr>
        <w:t>60</w:t>
      </w:r>
      <w:r w:rsidR="008B308E" w:rsidRPr="008B308E">
        <w:rPr>
          <w:rFonts w:cs="Arial"/>
          <w:bCs/>
          <w:color w:val="000000"/>
          <w:sz w:val="22"/>
          <w:szCs w:val="22"/>
        </w:rPr>
        <w:t xml:space="preserve"> (</w:t>
      </w:r>
      <w:r w:rsidR="008B308E">
        <w:rPr>
          <w:rFonts w:cs="Arial"/>
          <w:bCs/>
          <w:color w:val="000000"/>
          <w:sz w:val="22"/>
          <w:szCs w:val="22"/>
        </w:rPr>
        <w:t>шестдесет</w:t>
      </w:r>
      <w:r w:rsidR="008B308E" w:rsidRPr="008B308E">
        <w:rPr>
          <w:rFonts w:cs="Arial"/>
          <w:bCs/>
          <w:color w:val="000000"/>
          <w:sz w:val="22"/>
          <w:szCs w:val="22"/>
        </w:rPr>
        <w:t xml:space="preserve">) календарни дни, считано от датата на влизане на договора в сила, </w:t>
      </w:r>
      <w:r w:rsidRPr="008B308E">
        <w:rPr>
          <w:rFonts w:cs="Arial"/>
          <w:bCs/>
          <w:color w:val="000000"/>
          <w:sz w:val="22"/>
          <w:szCs w:val="22"/>
        </w:rPr>
        <w:t xml:space="preserve">представяне на </w:t>
      </w:r>
      <w:r w:rsidR="008B308E" w:rsidRPr="008B308E">
        <w:rPr>
          <w:rFonts w:cs="Arial"/>
          <w:bCs/>
          <w:color w:val="000000"/>
          <w:sz w:val="22"/>
          <w:szCs w:val="22"/>
        </w:rPr>
        <w:t>методика за оценка на експлоатационното състояние и оставащия експлоатационен ресурс на кабела.</w:t>
      </w:r>
    </w:p>
    <w:p w14:paraId="33992E97" w14:textId="0FDE3E61" w:rsidR="00F53EC9" w:rsidRPr="008B308E" w:rsidRDefault="008B308E" w:rsidP="008B308E">
      <w:pPr>
        <w:jc w:val="both"/>
        <w:rPr>
          <w:rFonts w:cs="Arial"/>
          <w:bCs/>
          <w:color w:val="000000"/>
          <w:sz w:val="22"/>
          <w:szCs w:val="22"/>
        </w:rPr>
      </w:pPr>
      <w:r w:rsidRPr="008B308E">
        <w:rPr>
          <w:rFonts w:cs="Arial"/>
          <w:bCs/>
          <w:color w:val="000000"/>
          <w:sz w:val="22"/>
          <w:szCs w:val="22"/>
        </w:rPr>
        <w:t>- в</w:t>
      </w:r>
      <w:r w:rsidR="00F53EC9" w:rsidRPr="008B308E">
        <w:rPr>
          <w:rFonts w:cs="Arial"/>
          <w:bCs/>
          <w:color w:val="000000"/>
          <w:sz w:val="22"/>
          <w:szCs w:val="22"/>
        </w:rPr>
        <w:t xml:space="preserve"> срок до 10 (десет) работни дни от датата на получаване на </w:t>
      </w:r>
      <w:r w:rsidRPr="008B308E">
        <w:rPr>
          <w:rFonts w:cs="Arial"/>
          <w:bCs/>
          <w:color w:val="000000"/>
          <w:sz w:val="22"/>
          <w:szCs w:val="22"/>
        </w:rPr>
        <w:t>методиката</w:t>
      </w:r>
      <w:r w:rsidR="00F53EC9" w:rsidRPr="008B308E">
        <w:rPr>
          <w:rFonts w:cs="Arial"/>
          <w:bCs/>
          <w:color w:val="000000"/>
          <w:sz w:val="22"/>
          <w:szCs w:val="22"/>
        </w:rPr>
        <w:t xml:space="preserve">, Възложителят назначава Технически съвет, който да </w:t>
      </w:r>
      <w:r w:rsidRPr="008B308E">
        <w:rPr>
          <w:rFonts w:cs="Arial"/>
          <w:bCs/>
          <w:color w:val="000000"/>
          <w:sz w:val="22"/>
          <w:szCs w:val="22"/>
        </w:rPr>
        <w:t>я</w:t>
      </w:r>
      <w:r w:rsidR="00F53EC9" w:rsidRPr="008B308E">
        <w:rPr>
          <w:rFonts w:cs="Arial"/>
          <w:bCs/>
          <w:color w:val="000000"/>
          <w:sz w:val="22"/>
          <w:szCs w:val="22"/>
        </w:rPr>
        <w:t xml:space="preserve"> разгледа. Възложителят има право да: </w:t>
      </w:r>
    </w:p>
    <w:p w14:paraId="169D174C" w14:textId="02E3E956" w:rsidR="00F53EC9" w:rsidRPr="00F53EC9" w:rsidRDefault="008B308E" w:rsidP="008B308E">
      <w:pPr>
        <w:pStyle w:val="ListParagraph"/>
        <w:numPr>
          <w:ilvl w:val="0"/>
          <w:numId w:val="27"/>
        </w:numPr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о</w:t>
      </w:r>
      <w:r w:rsidR="00F53EC9" w:rsidRPr="00F53EC9">
        <w:rPr>
          <w:rFonts w:cs="Arial"/>
          <w:bCs/>
          <w:color w:val="000000"/>
          <w:sz w:val="22"/>
          <w:szCs w:val="22"/>
        </w:rPr>
        <w:t xml:space="preserve">добри и приеме </w:t>
      </w:r>
      <w:r>
        <w:rPr>
          <w:rFonts w:cs="Arial"/>
          <w:bCs/>
          <w:color w:val="000000"/>
          <w:sz w:val="22"/>
          <w:szCs w:val="22"/>
        </w:rPr>
        <w:t>методиката</w:t>
      </w:r>
      <w:r w:rsidR="00F53EC9" w:rsidRPr="00F53EC9">
        <w:rPr>
          <w:rFonts w:cs="Arial"/>
          <w:bCs/>
          <w:color w:val="000000"/>
          <w:sz w:val="22"/>
          <w:szCs w:val="22"/>
        </w:rPr>
        <w:t>, без забележки;</w:t>
      </w:r>
    </w:p>
    <w:p w14:paraId="23937A2E" w14:textId="6AC1CF9B" w:rsidR="00F53EC9" w:rsidRPr="00F53EC9" w:rsidRDefault="008B308E" w:rsidP="00F53EC9">
      <w:pPr>
        <w:pStyle w:val="ListParagraph"/>
        <w:numPr>
          <w:ilvl w:val="0"/>
          <w:numId w:val="27"/>
        </w:numPr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в</w:t>
      </w:r>
      <w:r w:rsidR="00F53EC9" w:rsidRPr="00F53EC9">
        <w:rPr>
          <w:rFonts w:cs="Arial"/>
          <w:bCs/>
          <w:color w:val="000000"/>
          <w:sz w:val="22"/>
          <w:szCs w:val="22"/>
        </w:rPr>
        <w:t xml:space="preserve">ърне </w:t>
      </w:r>
      <w:r>
        <w:rPr>
          <w:rFonts w:cs="Arial"/>
          <w:bCs/>
          <w:color w:val="000000"/>
          <w:sz w:val="22"/>
          <w:szCs w:val="22"/>
        </w:rPr>
        <w:t>методиката</w:t>
      </w:r>
      <w:r w:rsidR="00F53EC9" w:rsidRPr="00F53EC9">
        <w:rPr>
          <w:rFonts w:cs="Arial"/>
          <w:bCs/>
          <w:color w:val="000000"/>
          <w:sz w:val="22"/>
          <w:szCs w:val="22"/>
        </w:rPr>
        <w:t xml:space="preserve"> на Изпълнителя със забележки и определи срок за тяхното отстраняване;</w:t>
      </w:r>
    </w:p>
    <w:p w14:paraId="7B171005" w14:textId="77777777" w:rsidR="008B308E" w:rsidRDefault="008B308E" w:rsidP="008B308E">
      <w:pPr>
        <w:pStyle w:val="ListParagraph"/>
        <w:numPr>
          <w:ilvl w:val="0"/>
          <w:numId w:val="27"/>
        </w:numPr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н</w:t>
      </w:r>
      <w:r w:rsidR="00F53EC9" w:rsidRPr="00F53EC9">
        <w:rPr>
          <w:rFonts w:cs="Arial"/>
          <w:bCs/>
          <w:color w:val="000000"/>
          <w:sz w:val="22"/>
          <w:szCs w:val="22"/>
        </w:rPr>
        <w:t xml:space="preserve">е приеме </w:t>
      </w:r>
      <w:r>
        <w:rPr>
          <w:rFonts w:cs="Arial"/>
          <w:bCs/>
          <w:color w:val="000000"/>
          <w:sz w:val="22"/>
          <w:szCs w:val="22"/>
        </w:rPr>
        <w:t>методиката</w:t>
      </w:r>
      <w:r w:rsidR="00F53EC9" w:rsidRPr="00F53EC9">
        <w:rPr>
          <w:rFonts w:cs="Arial"/>
          <w:bCs/>
          <w:color w:val="000000"/>
          <w:sz w:val="22"/>
          <w:szCs w:val="22"/>
        </w:rPr>
        <w:t>.</w:t>
      </w:r>
    </w:p>
    <w:p w14:paraId="5D3715D4" w14:textId="6BD5B2B6" w:rsidR="00F53EC9" w:rsidRDefault="008B308E" w:rsidP="008B308E">
      <w:pPr>
        <w:jc w:val="both"/>
        <w:rPr>
          <w:rFonts w:cs="Arial"/>
          <w:bCs/>
          <w:color w:val="000000"/>
          <w:sz w:val="22"/>
          <w:szCs w:val="22"/>
        </w:rPr>
      </w:pPr>
      <w:r w:rsidRPr="008B308E">
        <w:rPr>
          <w:rFonts w:cs="Arial"/>
          <w:bCs/>
          <w:color w:val="000000"/>
          <w:sz w:val="22"/>
          <w:szCs w:val="22"/>
        </w:rPr>
        <w:t>-</w:t>
      </w:r>
      <w:r>
        <w:rPr>
          <w:rFonts w:cs="Arial"/>
          <w:bCs/>
          <w:color w:val="000000"/>
          <w:sz w:val="22"/>
          <w:szCs w:val="22"/>
        </w:rPr>
        <w:t xml:space="preserve"> </w:t>
      </w:r>
      <w:r w:rsidRPr="008B308E">
        <w:rPr>
          <w:rFonts w:cs="Arial"/>
          <w:bCs/>
          <w:color w:val="000000"/>
          <w:sz w:val="22"/>
          <w:szCs w:val="22"/>
        </w:rPr>
        <w:t>в</w:t>
      </w:r>
      <w:r w:rsidR="00F53EC9" w:rsidRPr="008B308E">
        <w:rPr>
          <w:rFonts w:cs="Arial"/>
          <w:bCs/>
          <w:color w:val="000000"/>
          <w:sz w:val="22"/>
          <w:szCs w:val="22"/>
        </w:rPr>
        <w:t xml:space="preserve"> срок до </w:t>
      </w:r>
      <w:r w:rsidRPr="008B308E">
        <w:rPr>
          <w:rFonts w:cs="Arial"/>
          <w:bCs/>
          <w:color w:val="000000"/>
          <w:sz w:val="22"/>
          <w:szCs w:val="22"/>
        </w:rPr>
        <w:t>10</w:t>
      </w:r>
      <w:r w:rsidR="00F53EC9" w:rsidRPr="008B308E">
        <w:rPr>
          <w:rFonts w:cs="Arial"/>
          <w:bCs/>
          <w:color w:val="000000"/>
          <w:sz w:val="22"/>
          <w:szCs w:val="22"/>
        </w:rPr>
        <w:t xml:space="preserve"> (</w:t>
      </w:r>
      <w:r w:rsidRPr="008B308E">
        <w:rPr>
          <w:rFonts w:cs="Arial"/>
          <w:bCs/>
          <w:color w:val="000000"/>
          <w:sz w:val="22"/>
          <w:szCs w:val="22"/>
        </w:rPr>
        <w:t>десет</w:t>
      </w:r>
      <w:r w:rsidR="00F53EC9" w:rsidRPr="008B308E">
        <w:rPr>
          <w:rFonts w:cs="Arial"/>
          <w:bCs/>
          <w:color w:val="000000"/>
          <w:sz w:val="22"/>
          <w:szCs w:val="22"/>
        </w:rPr>
        <w:t>) работни дни от датата на предаване на коригира</w:t>
      </w:r>
      <w:r w:rsidR="00AC4466">
        <w:rPr>
          <w:rFonts w:cs="Arial"/>
          <w:bCs/>
          <w:color w:val="000000"/>
          <w:sz w:val="22"/>
          <w:szCs w:val="22"/>
        </w:rPr>
        <w:t>ната</w:t>
      </w:r>
      <w:r w:rsidR="00F53EC9" w:rsidRPr="008B308E">
        <w:rPr>
          <w:rFonts w:cs="Arial"/>
          <w:bCs/>
          <w:color w:val="000000"/>
          <w:sz w:val="22"/>
          <w:szCs w:val="22"/>
        </w:rPr>
        <w:t xml:space="preserve"> </w:t>
      </w:r>
      <w:r w:rsidR="00AC4466">
        <w:rPr>
          <w:rFonts w:cs="Arial"/>
          <w:bCs/>
          <w:color w:val="000000"/>
          <w:sz w:val="22"/>
          <w:szCs w:val="22"/>
        </w:rPr>
        <w:t>методика</w:t>
      </w:r>
      <w:r w:rsidR="00F53EC9" w:rsidRPr="008B308E">
        <w:rPr>
          <w:rFonts w:cs="Arial"/>
          <w:bCs/>
          <w:color w:val="000000"/>
          <w:sz w:val="22"/>
          <w:szCs w:val="22"/>
        </w:rPr>
        <w:t xml:space="preserve"> в деловодството на Предприятие ВЕЦ, Възложителят назначава нов Технически съвет. Работата по </w:t>
      </w:r>
      <w:r w:rsidR="00AC4466">
        <w:rPr>
          <w:rFonts w:cs="Arial"/>
          <w:bCs/>
          <w:color w:val="000000"/>
          <w:sz w:val="22"/>
          <w:szCs w:val="22"/>
        </w:rPr>
        <w:t>приемане на методиката</w:t>
      </w:r>
      <w:r w:rsidR="00F53EC9" w:rsidRPr="008B308E">
        <w:rPr>
          <w:rFonts w:cs="Arial"/>
          <w:bCs/>
          <w:color w:val="000000"/>
          <w:sz w:val="22"/>
          <w:szCs w:val="22"/>
        </w:rPr>
        <w:t xml:space="preserve"> приключва с протокол от Технически съвет, с който Възложителят одобрява и </w:t>
      </w:r>
      <w:r w:rsidR="00AC4466">
        <w:rPr>
          <w:rFonts w:cs="Arial"/>
          <w:bCs/>
          <w:color w:val="000000"/>
          <w:sz w:val="22"/>
          <w:szCs w:val="22"/>
        </w:rPr>
        <w:t xml:space="preserve">я </w:t>
      </w:r>
      <w:r w:rsidR="00F53EC9" w:rsidRPr="008B308E">
        <w:rPr>
          <w:rFonts w:cs="Arial"/>
          <w:bCs/>
          <w:color w:val="000000"/>
          <w:sz w:val="22"/>
          <w:szCs w:val="22"/>
        </w:rPr>
        <w:t xml:space="preserve">приема, без забележки или не </w:t>
      </w:r>
      <w:r w:rsidR="00AC4466">
        <w:rPr>
          <w:rFonts w:cs="Arial"/>
          <w:bCs/>
          <w:color w:val="000000"/>
          <w:sz w:val="22"/>
          <w:szCs w:val="22"/>
        </w:rPr>
        <w:t xml:space="preserve">я </w:t>
      </w:r>
      <w:r w:rsidR="00F53EC9" w:rsidRPr="008B308E">
        <w:rPr>
          <w:rFonts w:cs="Arial"/>
          <w:bCs/>
          <w:color w:val="000000"/>
          <w:sz w:val="22"/>
          <w:szCs w:val="22"/>
        </w:rPr>
        <w:t>приема</w:t>
      </w:r>
      <w:r w:rsidR="00AC4466">
        <w:rPr>
          <w:rFonts w:cs="Arial"/>
          <w:bCs/>
          <w:color w:val="000000"/>
          <w:sz w:val="22"/>
          <w:szCs w:val="22"/>
        </w:rPr>
        <w:t>.</w:t>
      </w:r>
    </w:p>
    <w:p w14:paraId="6C5B4EDE" w14:textId="77777777" w:rsidR="005303F3" w:rsidRDefault="005303F3" w:rsidP="008B308E">
      <w:pPr>
        <w:jc w:val="both"/>
        <w:rPr>
          <w:rFonts w:cs="Arial"/>
          <w:bCs/>
          <w:color w:val="000000"/>
          <w:sz w:val="22"/>
          <w:szCs w:val="22"/>
        </w:rPr>
      </w:pPr>
    </w:p>
    <w:p w14:paraId="360149AB" w14:textId="3D4B3D5E" w:rsidR="002D3C39" w:rsidRPr="005B305F" w:rsidRDefault="005303F3" w:rsidP="00D9394C">
      <w:pPr>
        <w:pStyle w:val="ListParagraph"/>
        <w:numPr>
          <w:ilvl w:val="2"/>
          <w:numId w:val="28"/>
        </w:numPr>
        <w:jc w:val="both"/>
        <w:rPr>
          <w:rFonts w:cs="Arial"/>
          <w:sz w:val="22"/>
          <w:szCs w:val="22"/>
        </w:rPr>
      </w:pPr>
      <w:r w:rsidRPr="005B305F">
        <w:rPr>
          <w:rFonts w:cs="Arial"/>
          <w:b/>
          <w:color w:val="000000"/>
          <w:sz w:val="22"/>
          <w:szCs w:val="22"/>
        </w:rPr>
        <w:t>Втори етап</w:t>
      </w:r>
      <w:r w:rsidRPr="005B305F">
        <w:rPr>
          <w:rFonts w:cs="Arial"/>
          <w:bCs/>
          <w:color w:val="000000"/>
          <w:sz w:val="22"/>
          <w:szCs w:val="22"/>
        </w:rPr>
        <w:t xml:space="preserve"> – в рамите на оставащия срок на договора извършване на </w:t>
      </w:r>
      <w:r w:rsidR="002E4382" w:rsidRPr="005B305F">
        <w:rPr>
          <w:rFonts w:cs="Arial"/>
          <w:bCs/>
          <w:color w:val="000000"/>
          <w:sz w:val="22"/>
          <w:szCs w:val="22"/>
        </w:rPr>
        <w:t xml:space="preserve">останалите дейности в обхвата на поръчката. </w:t>
      </w:r>
    </w:p>
    <w:p w14:paraId="2B6A05D4" w14:textId="77777777" w:rsidR="005B305F" w:rsidRDefault="005B305F" w:rsidP="005B305F">
      <w:pPr>
        <w:jc w:val="both"/>
        <w:rPr>
          <w:rFonts w:cs="Arial"/>
          <w:b/>
          <w:color w:val="000000"/>
          <w:sz w:val="22"/>
          <w:szCs w:val="22"/>
        </w:rPr>
      </w:pPr>
    </w:p>
    <w:p w14:paraId="0DEF52FE" w14:textId="75B9E171" w:rsidR="005B305F" w:rsidRPr="008509CC" w:rsidRDefault="005B305F" w:rsidP="008509CC">
      <w:pPr>
        <w:pStyle w:val="ListParagraph"/>
        <w:numPr>
          <w:ilvl w:val="2"/>
          <w:numId w:val="28"/>
        </w:numPr>
        <w:jc w:val="both"/>
        <w:rPr>
          <w:rFonts w:cs="Arial"/>
          <w:b/>
          <w:color w:val="000000"/>
          <w:sz w:val="22"/>
          <w:szCs w:val="22"/>
        </w:rPr>
      </w:pPr>
      <w:r w:rsidRPr="008509CC">
        <w:rPr>
          <w:rFonts w:cs="Arial"/>
          <w:b/>
          <w:color w:val="000000"/>
          <w:sz w:val="22"/>
          <w:szCs w:val="22"/>
        </w:rPr>
        <w:t>Трети етап</w:t>
      </w:r>
    </w:p>
    <w:p w14:paraId="7F756295" w14:textId="7645CBC2" w:rsidR="008509CC" w:rsidRPr="008B308E" w:rsidRDefault="008509CC" w:rsidP="008509CC">
      <w:pPr>
        <w:jc w:val="both"/>
        <w:rPr>
          <w:rFonts w:cs="Arial"/>
          <w:bCs/>
          <w:color w:val="000000"/>
          <w:sz w:val="22"/>
          <w:szCs w:val="22"/>
        </w:rPr>
      </w:pPr>
      <w:r w:rsidRPr="008B308E">
        <w:rPr>
          <w:rFonts w:cs="Arial"/>
          <w:bCs/>
          <w:color w:val="000000"/>
          <w:sz w:val="22"/>
          <w:szCs w:val="22"/>
        </w:rPr>
        <w:t xml:space="preserve">- в срок до 10 (десет) работни дни от датата на получаване на </w:t>
      </w:r>
      <w:r w:rsidRPr="008509CC">
        <w:rPr>
          <w:rFonts w:cs="Arial"/>
          <w:bCs/>
          <w:color w:val="000000"/>
          <w:sz w:val="22"/>
          <w:szCs w:val="22"/>
        </w:rPr>
        <w:t>доклад</w:t>
      </w:r>
      <w:r>
        <w:rPr>
          <w:rFonts w:cs="Arial"/>
          <w:bCs/>
          <w:color w:val="000000"/>
          <w:sz w:val="22"/>
          <w:szCs w:val="22"/>
        </w:rPr>
        <w:t>а</w:t>
      </w:r>
      <w:r w:rsidRPr="008509CC">
        <w:rPr>
          <w:rFonts w:cs="Arial"/>
          <w:bCs/>
          <w:color w:val="000000"/>
          <w:sz w:val="22"/>
          <w:szCs w:val="22"/>
        </w:rPr>
        <w:t xml:space="preserve"> от извършеното обследване</w:t>
      </w:r>
      <w:r w:rsidRPr="008B308E">
        <w:rPr>
          <w:rFonts w:cs="Arial"/>
          <w:bCs/>
          <w:color w:val="000000"/>
          <w:sz w:val="22"/>
          <w:szCs w:val="22"/>
        </w:rPr>
        <w:t xml:space="preserve">, Възложителят назначава Технически съвет, който да </w:t>
      </w:r>
      <w:r>
        <w:rPr>
          <w:rFonts w:cs="Arial"/>
          <w:bCs/>
          <w:color w:val="000000"/>
          <w:sz w:val="22"/>
          <w:szCs w:val="22"/>
        </w:rPr>
        <w:t>го</w:t>
      </w:r>
      <w:r w:rsidRPr="008B308E">
        <w:rPr>
          <w:rFonts w:cs="Arial"/>
          <w:bCs/>
          <w:color w:val="000000"/>
          <w:sz w:val="22"/>
          <w:szCs w:val="22"/>
        </w:rPr>
        <w:t xml:space="preserve"> разгледа. Възложителят има право да: </w:t>
      </w:r>
    </w:p>
    <w:p w14:paraId="5553FC0B" w14:textId="1E2F4352" w:rsidR="008509CC" w:rsidRPr="00F53EC9" w:rsidRDefault="008509CC" w:rsidP="008509CC">
      <w:pPr>
        <w:pStyle w:val="ListParagraph"/>
        <w:numPr>
          <w:ilvl w:val="0"/>
          <w:numId w:val="27"/>
        </w:numPr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о</w:t>
      </w:r>
      <w:r w:rsidRPr="00F53EC9">
        <w:rPr>
          <w:rFonts w:cs="Arial"/>
          <w:bCs/>
          <w:color w:val="000000"/>
          <w:sz w:val="22"/>
          <w:szCs w:val="22"/>
        </w:rPr>
        <w:t xml:space="preserve">добри и приеме </w:t>
      </w:r>
      <w:r>
        <w:rPr>
          <w:rFonts w:cs="Arial"/>
          <w:bCs/>
          <w:color w:val="000000"/>
          <w:sz w:val="22"/>
          <w:szCs w:val="22"/>
        </w:rPr>
        <w:t>доклада</w:t>
      </w:r>
      <w:r w:rsidRPr="00F53EC9">
        <w:rPr>
          <w:rFonts w:cs="Arial"/>
          <w:bCs/>
          <w:color w:val="000000"/>
          <w:sz w:val="22"/>
          <w:szCs w:val="22"/>
        </w:rPr>
        <w:t>, без забележки;</w:t>
      </w:r>
    </w:p>
    <w:p w14:paraId="11F90D09" w14:textId="29A0139C" w:rsidR="008509CC" w:rsidRPr="00F53EC9" w:rsidRDefault="008509CC" w:rsidP="008509CC">
      <w:pPr>
        <w:pStyle w:val="ListParagraph"/>
        <w:numPr>
          <w:ilvl w:val="0"/>
          <w:numId w:val="27"/>
        </w:numPr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lastRenderedPageBreak/>
        <w:t>в</w:t>
      </w:r>
      <w:r w:rsidRPr="00F53EC9">
        <w:rPr>
          <w:rFonts w:cs="Arial"/>
          <w:bCs/>
          <w:color w:val="000000"/>
          <w:sz w:val="22"/>
          <w:szCs w:val="22"/>
        </w:rPr>
        <w:t xml:space="preserve">ърне </w:t>
      </w:r>
      <w:r>
        <w:rPr>
          <w:rFonts w:cs="Arial"/>
          <w:bCs/>
          <w:color w:val="000000"/>
          <w:sz w:val="22"/>
          <w:szCs w:val="22"/>
        </w:rPr>
        <w:t>доклада</w:t>
      </w:r>
      <w:r w:rsidRPr="00F53EC9">
        <w:rPr>
          <w:rFonts w:cs="Arial"/>
          <w:bCs/>
          <w:color w:val="000000"/>
          <w:sz w:val="22"/>
          <w:szCs w:val="22"/>
        </w:rPr>
        <w:t xml:space="preserve"> на Изпълнителя със забележки и определи срок за тяхното отстраняване;</w:t>
      </w:r>
    </w:p>
    <w:p w14:paraId="1A75E059" w14:textId="222318BE" w:rsidR="008509CC" w:rsidRDefault="008509CC" w:rsidP="008509CC">
      <w:pPr>
        <w:pStyle w:val="ListParagraph"/>
        <w:numPr>
          <w:ilvl w:val="0"/>
          <w:numId w:val="27"/>
        </w:numPr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н</w:t>
      </w:r>
      <w:r w:rsidRPr="00F53EC9">
        <w:rPr>
          <w:rFonts w:cs="Arial"/>
          <w:bCs/>
          <w:color w:val="000000"/>
          <w:sz w:val="22"/>
          <w:szCs w:val="22"/>
        </w:rPr>
        <w:t xml:space="preserve">е приеме </w:t>
      </w:r>
      <w:r>
        <w:rPr>
          <w:rFonts w:cs="Arial"/>
          <w:bCs/>
          <w:color w:val="000000"/>
          <w:sz w:val="22"/>
          <w:szCs w:val="22"/>
        </w:rPr>
        <w:t>доклада</w:t>
      </w:r>
      <w:r w:rsidRPr="00F53EC9">
        <w:rPr>
          <w:rFonts w:cs="Arial"/>
          <w:bCs/>
          <w:color w:val="000000"/>
          <w:sz w:val="22"/>
          <w:szCs w:val="22"/>
        </w:rPr>
        <w:t>.</w:t>
      </w:r>
    </w:p>
    <w:p w14:paraId="372C7426" w14:textId="534CF24A" w:rsidR="008509CC" w:rsidRDefault="008509CC" w:rsidP="008509CC">
      <w:pPr>
        <w:jc w:val="both"/>
        <w:rPr>
          <w:rFonts w:cs="Arial"/>
          <w:bCs/>
          <w:color w:val="000000"/>
          <w:sz w:val="22"/>
          <w:szCs w:val="22"/>
        </w:rPr>
      </w:pPr>
      <w:r w:rsidRPr="008B308E">
        <w:rPr>
          <w:rFonts w:cs="Arial"/>
          <w:bCs/>
          <w:color w:val="000000"/>
          <w:sz w:val="22"/>
          <w:szCs w:val="22"/>
        </w:rPr>
        <w:t>-</w:t>
      </w:r>
      <w:r>
        <w:rPr>
          <w:rFonts w:cs="Arial"/>
          <w:bCs/>
          <w:color w:val="000000"/>
          <w:sz w:val="22"/>
          <w:szCs w:val="22"/>
        </w:rPr>
        <w:t xml:space="preserve"> </w:t>
      </w:r>
      <w:r w:rsidRPr="008B308E">
        <w:rPr>
          <w:rFonts w:cs="Arial"/>
          <w:bCs/>
          <w:color w:val="000000"/>
          <w:sz w:val="22"/>
          <w:szCs w:val="22"/>
        </w:rPr>
        <w:t xml:space="preserve">в срок до 10 (десет) работни дни от датата на предаване на </w:t>
      </w:r>
      <w:r>
        <w:rPr>
          <w:rFonts w:cs="Arial"/>
          <w:bCs/>
          <w:color w:val="000000"/>
          <w:sz w:val="22"/>
          <w:szCs w:val="22"/>
        </w:rPr>
        <w:t>коригирания доклад</w:t>
      </w:r>
      <w:r w:rsidRPr="008B308E">
        <w:rPr>
          <w:rFonts w:cs="Arial"/>
          <w:bCs/>
          <w:color w:val="000000"/>
          <w:sz w:val="22"/>
          <w:szCs w:val="22"/>
        </w:rPr>
        <w:t xml:space="preserve"> в деловодството на Предприятие ВЕЦ, Възложителят назначава нов Технически съвет. Работата по </w:t>
      </w:r>
      <w:r>
        <w:rPr>
          <w:rFonts w:cs="Arial"/>
          <w:bCs/>
          <w:color w:val="000000"/>
          <w:sz w:val="22"/>
          <w:szCs w:val="22"/>
        </w:rPr>
        <w:t>приемане на доклада</w:t>
      </w:r>
      <w:r w:rsidRPr="008B308E">
        <w:rPr>
          <w:rFonts w:cs="Arial"/>
          <w:bCs/>
          <w:color w:val="000000"/>
          <w:sz w:val="22"/>
          <w:szCs w:val="22"/>
        </w:rPr>
        <w:t xml:space="preserve"> приключва с протокол от Технически съвет, с който Възложителят одобрява и </w:t>
      </w:r>
      <w:r>
        <w:rPr>
          <w:rFonts w:cs="Arial"/>
          <w:bCs/>
          <w:color w:val="000000"/>
          <w:sz w:val="22"/>
          <w:szCs w:val="22"/>
        </w:rPr>
        <w:t xml:space="preserve">го </w:t>
      </w:r>
      <w:r w:rsidRPr="008B308E">
        <w:rPr>
          <w:rFonts w:cs="Arial"/>
          <w:bCs/>
          <w:color w:val="000000"/>
          <w:sz w:val="22"/>
          <w:szCs w:val="22"/>
        </w:rPr>
        <w:t xml:space="preserve">приема, без забележки или не </w:t>
      </w:r>
      <w:r>
        <w:rPr>
          <w:rFonts w:cs="Arial"/>
          <w:bCs/>
          <w:color w:val="000000"/>
          <w:sz w:val="22"/>
          <w:szCs w:val="22"/>
        </w:rPr>
        <w:t xml:space="preserve">го </w:t>
      </w:r>
      <w:r w:rsidRPr="008B308E">
        <w:rPr>
          <w:rFonts w:cs="Arial"/>
          <w:bCs/>
          <w:color w:val="000000"/>
          <w:sz w:val="22"/>
          <w:szCs w:val="22"/>
        </w:rPr>
        <w:t>приема</w:t>
      </w:r>
      <w:r>
        <w:rPr>
          <w:rFonts w:cs="Arial"/>
          <w:bCs/>
          <w:color w:val="000000"/>
          <w:sz w:val="22"/>
          <w:szCs w:val="22"/>
        </w:rPr>
        <w:t>.</w:t>
      </w:r>
    </w:p>
    <w:p w14:paraId="0DEC0CE0" w14:textId="77777777" w:rsidR="008509CC" w:rsidRPr="008509CC" w:rsidRDefault="008509CC" w:rsidP="008509CC">
      <w:pPr>
        <w:pStyle w:val="ListParagraph"/>
        <w:rPr>
          <w:rFonts w:cs="Arial"/>
          <w:sz w:val="22"/>
          <w:szCs w:val="22"/>
        </w:rPr>
      </w:pPr>
    </w:p>
    <w:p w14:paraId="56AAE902" w14:textId="77777777" w:rsidR="008509CC" w:rsidRPr="008509CC" w:rsidRDefault="008509CC" w:rsidP="008509CC">
      <w:pPr>
        <w:pStyle w:val="ListParagraph"/>
        <w:jc w:val="both"/>
        <w:rPr>
          <w:rFonts w:cs="Arial"/>
          <w:sz w:val="22"/>
          <w:szCs w:val="22"/>
        </w:rPr>
      </w:pPr>
    </w:p>
    <w:p w14:paraId="527521AB" w14:textId="17FE3BC3" w:rsidR="000F3823" w:rsidRDefault="002B21DF" w:rsidP="001B1ABD">
      <w:pPr>
        <w:keepNext/>
        <w:spacing w:line="276" w:lineRule="auto"/>
        <w:jc w:val="both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5.2. </w:t>
      </w:r>
      <w:r w:rsidR="00A50D10">
        <w:rPr>
          <w:rFonts w:eastAsia="Calibri" w:cs="Arial"/>
          <w:b/>
          <w:sz w:val="22"/>
          <w:szCs w:val="22"/>
          <w:lang w:eastAsia="en-US"/>
        </w:rPr>
        <w:t>Място и условия за изпълнение</w:t>
      </w:r>
    </w:p>
    <w:p w14:paraId="05E9AB73" w14:textId="651A60AC" w:rsidR="00A50D10" w:rsidRPr="00A50D10" w:rsidRDefault="00A00B6D" w:rsidP="001B1ABD">
      <w:pPr>
        <w:keepNext/>
        <w:spacing w:line="276" w:lineRule="auto"/>
        <w:jc w:val="both"/>
        <w:rPr>
          <w:rFonts w:eastAsia="Calibri" w:cs="Arial"/>
          <w:b/>
          <w:sz w:val="22"/>
          <w:szCs w:val="22"/>
          <w:lang w:eastAsia="en-US"/>
        </w:rPr>
      </w:pPr>
      <w:r>
        <w:rPr>
          <w:rFonts w:cs="Arial"/>
          <w:bCs/>
          <w:sz w:val="22"/>
          <w:szCs w:val="22"/>
        </w:rPr>
        <w:t xml:space="preserve">- </w:t>
      </w:r>
      <w:r w:rsidR="00A50D10">
        <w:rPr>
          <w:rFonts w:cs="Arial"/>
          <w:bCs/>
          <w:sz w:val="22"/>
          <w:szCs w:val="22"/>
        </w:rPr>
        <w:t>ПАВЕЦ „Чаира“.</w:t>
      </w:r>
    </w:p>
    <w:p w14:paraId="1D80E7DF" w14:textId="2EB5FEFB" w:rsidR="001B1ABD" w:rsidRDefault="00A00B6D" w:rsidP="001B1ABD">
      <w:pPr>
        <w:jc w:val="both"/>
        <w:rPr>
          <w:rFonts w:eastAsia="Calibri" w:cs="Arial"/>
          <w:iCs/>
          <w:sz w:val="22"/>
          <w:szCs w:val="22"/>
          <w:lang w:eastAsia="en-US"/>
        </w:rPr>
      </w:pPr>
      <w:r>
        <w:rPr>
          <w:rFonts w:eastAsia="Calibri" w:cs="Arial"/>
          <w:iCs/>
          <w:sz w:val="22"/>
          <w:szCs w:val="22"/>
          <w:lang w:eastAsia="en-US"/>
        </w:rPr>
        <w:t xml:space="preserve">- </w:t>
      </w:r>
      <w:r w:rsidR="00A769AC">
        <w:rPr>
          <w:rFonts w:eastAsia="Calibri" w:cs="Arial"/>
          <w:iCs/>
          <w:sz w:val="22"/>
          <w:szCs w:val="22"/>
          <w:lang w:eastAsia="en-US"/>
        </w:rPr>
        <w:t>Складов</w:t>
      </w:r>
      <w:r>
        <w:rPr>
          <w:rFonts w:eastAsia="Calibri" w:cs="Arial"/>
          <w:iCs/>
          <w:sz w:val="22"/>
          <w:szCs w:val="22"/>
          <w:lang w:eastAsia="en-US"/>
        </w:rPr>
        <w:t xml:space="preserve">о – ремонтна </w:t>
      </w:r>
      <w:r w:rsidR="00A769AC">
        <w:rPr>
          <w:rFonts w:eastAsia="Calibri" w:cs="Arial"/>
          <w:iCs/>
          <w:sz w:val="22"/>
          <w:szCs w:val="22"/>
          <w:lang w:eastAsia="en-US"/>
        </w:rPr>
        <w:t>база гр. Белово.</w:t>
      </w:r>
    </w:p>
    <w:p w14:paraId="5CD965A6" w14:textId="77777777" w:rsidR="00A769AC" w:rsidRPr="00A769AC" w:rsidRDefault="00A769AC" w:rsidP="001B1ABD">
      <w:pPr>
        <w:jc w:val="both"/>
        <w:rPr>
          <w:rFonts w:eastAsia="Calibri" w:cs="Arial"/>
          <w:iCs/>
          <w:sz w:val="22"/>
          <w:szCs w:val="22"/>
          <w:lang w:eastAsia="en-US"/>
        </w:rPr>
      </w:pPr>
    </w:p>
    <w:p w14:paraId="03BD9552" w14:textId="565F077A" w:rsidR="000F3823" w:rsidRDefault="002B21DF" w:rsidP="001B1ABD">
      <w:pPr>
        <w:keepNext/>
        <w:spacing w:line="276" w:lineRule="auto"/>
        <w:jc w:val="both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5.3. </w:t>
      </w:r>
      <w:r w:rsidR="00A50D10">
        <w:rPr>
          <w:rFonts w:eastAsia="Calibri" w:cs="Arial"/>
          <w:b/>
          <w:sz w:val="22"/>
          <w:szCs w:val="22"/>
          <w:lang w:eastAsia="en-US"/>
        </w:rPr>
        <w:t>Контрол на работата от страна на Възложителя</w:t>
      </w:r>
    </w:p>
    <w:p w14:paraId="38A2A36F" w14:textId="2808F988" w:rsidR="00A50D10" w:rsidRDefault="005303F3" w:rsidP="00A50D10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Неприложимо за предмета на поръчката.</w:t>
      </w:r>
    </w:p>
    <w:p w14:paraId="2B26CA12" w14:textId="0A22E3E4" w:rsidR="00E71A8F" w:rsidRDefault="00E71A8F" w:rsidP="00A50D10">
      <w:pPr>
        <w:jc w:val="both"/>
        <w:rPr>
          <w:rFonts w:cs="Arial"/>
          <w:bCs/>
          <w:sz w:val="22"/>
          <w:szCs w:val="22"/>
        </w:rPr>
      </w:pPr>
    </w:p>
    <w:p w14:paraId="778D6303" w14:textId="5CB9962D" w:rsidR="00E71A8F" w:rsidRPr="00921568" w:rsidRDefault="00E71A8F" w:rsidP="00A50D10">
      <w:pPr>
        <w:jc w:val="both"/>
        <w:rPr>
          <w:rFonts w:cs="Arial"/>
          <w:bCs/>
          <w:sz w:val="22"/>
          <w:szCs w:val="22"/>
        </w:rPr>
      </w:pPr>
      <w:r w:rsidRPr="00921568">
        <w:rPr>
          <w:rFonts w:cs="Arial"/>
          <w:b/>
          <w:sz w:val="22"/>
          <w:szCs w:val="22"/>
        </w:rPr>
        <w:t>6.</w:t>
      </w:r>
      <w:r w:rsidR="009E7CFC" w:rsidRPr="00921568">
        <w:rPr>
          <w:rFonts w:cs="Arial"/>
          <w:b/>
          <w:sz w:val="22"/>
          <w:szCs w:val="22"/>
        </w:rPr>
        <w:t xml:space="preserve"> ДРУГИ УСЛОВИЯ ЗА ИЗПЪЛНЕНИЕ НА ПОРЪЧКАТА</w:t>
      </w:r>
    </w:p>
    <w:p w14:paraId="4FAE2322" w14:textId="56C330A3" w:rsidR="00E71A8F" w:rsidRPr="00921568" w:rsidRDefault="00E71A8F" w:rsidP="00A50D10">
      <w:pPr>
        <w:jc w:val="both"/>
        <w:rPr>
          <w:rFonts w:cs="Arial"/>
          <w:b/>
          <w:sz w:val="22"/>
          <w:szCs w:val="22"/>
        </w:rPr>
      </w:pPr>
      <w:r w:rsidRPr="00921568">
        <w:rPr>
          <w:rFonts w:cs="Arial"/>
          <w:b/>
          <w:sz w:val="22"/>
          <w:szCs w:val="22"/>
        </w:rPr>
        <w:t>6.1. Технически изисквания към персонала, изпълняващ услугата</w:t>
      </w:r>
      <w:r w:rsidR="009E7CFC" w:rsidRPr="00921568">
        <w:rPr>
          <w:rFonts w:cs="Arial"/>
          <w:b/>
          <w:sz w:val="22"/>
          <w:szCs w:val="22"/>
        </w:rPr>
        <w:t>.</w:t>
      </w:r>
    </w:p>
    <w:p w14:paraId="65194B29" w14:textId="69FCE228" w:rsidR="00B379FC" w:rsidRPr="00921568" w:rsidRDefault="00E73351" w:rsidP="00A50D10">
      <w:pPr>
        <w:jc w:val="both"/>
        <w:rPr>
          <w:rFonts w:cs="Arial"/>
          <w:b/>
          <w:sz w:val="22"/>
          <w:szCs w:val="22"/>
        </w:rPr>
      </w:pPr>
      <w:r w:rsidRPr="00E73351">
        <w:rPr>
          <w:rFonts w:cs="Arial"/>
          <w:bCs/>
          <w:sz w:val="22"/>
          <w:szCs w:val="22"/>
        </w:rPr>
        <w:t>Неприложимо за предмета на поръчката</w:t>
      </w:r>
    </w:p>
    <w:p w14:paraId="4B55D407" w14:textId="77777777" w:rsidR="00E73351" w:rsidRDefault="00E73351" w:rsidP="00A50D10">
      <w:pPr>
        <w:jc w:val="both"/>
        <w:rPr>
          <w:rFonts w:cs="Arial"/>
          <w:b/>
          <w:sz w:val="22"/>
          <w:szCs w:val="22"/>
        </w:rPr>
      </w:pPr>
    </w:p>
    <w:p w14:paraId="315E4A51" w14:textId="77777777" w:rsidR="00E73351" w:rsidRDefault="00E73351" w:rsidP="00A50D10">
      <w:pPr>
        <w:jc w:val="both"/>
        <w:rPr>
          <w:rFonts w:cs="Arial"/>
          <w:b/>
          <w:sz w:val="22"/>
          <w:szCs w:val="22"/>
        </w:rPr>
      </w:pPr>
    </w:p>
    <w:p w14:paraId="3A1BD6A6" w14:textId="77777777" w:rsidR="00E73351" w:rsidRDefault="00E73351" w:rsidP="00A50D10">
      <w:pPr>
        <w:jc w:val="both"/>
        <w:rPr>
          <w:rFonts w:cs="Arial"/>
          <w:b/>
          <w:sz w:val="22"/>
          <w:szCs w:val="22"/>
        </w:rPr>
      </w:pPr>
    </w:p>
    <w:p w14:paraId="5CD13E0B" w14:textId="0955C2B9" w:rsidR="009E7CFC" w:rsidRPr="00921568" w:rsidRDefault="009E7CFC" w:rsidP="00A50D10">
      <w:pPr>
        <w:jc w:val="both"/>
        <w:rPr>
          <w:rFonts w:cs="Arial"/>
          <w:b/>
          <w:sz w:val="22"/>
          <w:szCs w:val="22"/>
        </w:rPr>
      </w:pPr>
      <w:r w:rsidRPr="00921568">
        <w:rPr>
          <w:rFonts w:cs="Arial"/>
          <w:b/>
          <w:sz w:val="22"/>
          <w:szCs w:val="22"/>
        </w:rPr>
        <w:t>ПРИЛОЖЕНИЯ</w:t>
      </w:r>
    </w:p>
    <w:p w14:paraId="1A982D43" w14:textId="77777777" w:rsidR="009E7CFC" w:rsidRPr="00B379FC" w:rsidRDefault="009E7CFC" w:rsidP="009E7CFC">
      <w:pPr>
        <w:jc w:val="both"/>
        <w:rPr>
          <w:rFonts w:cs="Arial"/>
          <w:bCs/>
          <w:sz w:val="22"/>
          <w:szCs w:val="22"/>
        </w:rPr>
      </w:pPr>
      <w:bookmarkStart w:id="4" w:name="_Hlk141952650"/>
      <w:r w:rsidRPr="00B379FC">
        <w:rPr>
          <w:rFonts w:cs="Arial"/>
          <w:bCs/>
          <w:sz w:val="22"/>
          <w:szCs w:val="22"/>
        </w:rPr>
        <w:t>Неприложимо за предмета на поръчката</w:t>
      </w:r>
    </w:p>
    <w:bookmarkEnd w:id="4"/>
    <w:p w14:paraId="16AEB687" w14:textId="479D1F67" w:rsidR="00A50D10" w:rsidRPr="00A50D10" w:rsidRDefault="00A50D10" w:rsidP="001B1ABD">
      <w:pPr>
        <w:keepNext/>
        <w:spacing w:line="276" w:lineRule="auto"/>
        <w:jc w:val="both"/>
        <w:rPr>
          <w:rFonts w:eastAsia="Calibri" w:cs="Arial"/>
          <w:bCs/>
          <w:sz w:val="22"/>
          <w:szCs w:val="22"/>
          <w:lang w:eastAsia="en-US"/>
        </w:rPr>
      </w:pPr>
    </w:p>
    <w:p w14:paraId="0A721271" w14:textId="77777777" w:rsidR="0080648B" w:rsidRPr="0080648B" w:rsidRDefault="0080648B" w:rsidP="0080648B">
      <w:pPr>
        <w:pStyle w:val="Footer"/>
        <w:tabs>
          <w:tab w:val="right" w:pos="0"/>
        </w:tabs>
        <w:rPr>
          <w:rFonts w:cs="Arial"/>
          <w:bCs/>
          <w:color w:val="000000"/>
          <w:sz w:val="18"/>
          <w:szCs w:val="18"/>
        </w:rPr>
      </w:pPr>
    </w:p>
    <w:p w14:paraId="06964AE8" w14:textId="6C0D5AE1" w:rsidR="0080648B" w:rsidRPr="0080648B" w:rsidRDefault="00C5701A" w:rsidP="0080648B">
      <w:pPr>
        <w:pStyle w:val="Footer"/>
        <w:tabs>
          <w:tab w:val="right" w:pos="0"/>
        </w:tabs>
        <w:rPr>
          <w:rFonts w:cs="Arial"/>
          <w:bCs/>
          <w:color w:val="000000"/>
          <w:sz w:val="18"/>
          <w:szCs w:val="18"/>
        </w:rPr>
      </w:pPr>
      <w:r w:rsidRPr="0080648B">
        <w:rPr>
          <w:rFonts w:cs="Arial"/>
          <w:bCs/>
          <w:color w:val="000000"/>
          <w:sz w:val="18"/>
          <w:szCs w:val="18"/>
        </w:rPr>
        <w:t>СЪГЛАСУВАЛИ:</w:t>
      </w:r>
    </w:p>
    <w:p w14:paraId="4EC450C4" w14:textId="77777777" w:rsidR="0080648B" w:rsidRDefault="0080648B" w:rsidP="0080648B">
      <w:pPr>
        <w:pStyle w:val="Footer"/>
        <w:rPr>
          <w:rFonts w:cs="Arial"/>
          <w:color w:val="000000"/>
          <w:sz w:val="16"/>
          <w:szCs w:val="16"/>
        </w:rPr>
      </w:pPr>
    </w:p>
    <w:p w14:paraId="5C5B48AB" w14:textId="3B924E1A" w:rsidR="0080648B" w:rsidRPr="00E71A8F" w:rsidRDefault="000D5247" w:rsidP="0080648B">
      <w:pPr>
        <w:pStyle w:val="Footer"/>
        <w:tabs>
          <w:tab w:val="right" w:pos="0"/>
        </w:tabs>
        <w:rPr>
          <w:rFonts w:cs="Arial"/>
          <w:bCs/>
          <w:color w:val="000000"/>
          <w:sz w:val="16"/>
          <w:szCs w:val="16"/>
        </w:rPr>
      </w:pPr>
      <w:r>
        <w:rPr>
          <w:rFonts w:cs="Arial"/>
          <w:bCs/>
          <w:color w:val="000000"/>
          <w:sz w:val="16"/>
          <w:szCs w:val="16"/>
        </w:rPr>
        <w:t>Илко Такев</w:t>
      </w:r>
    </w:p>
    <w:p w14:paraId="34FF9D51" w14:textId="77777777" w:rsidR="0080648B" w:rsidRPr="00E71A8F" w:rsidRDefault="0080648B" w:rsidP="0080648B">
      <w:pPr>
        <w:pStyle w:val="Footer"/>
        <w:tabs>
          <w:tab w:val="right" w:pos="0"/>
        </w:tabs>
        <w:rPr>
          <w:rFonts w:cs="Arial"/>
          <w:bCs/>
          <w:color w:val="000000"/>
          <w:sz w:val="16"/>
          <w:szCs w:val="16"/>
        </w:rPr>
      </w:pPr>
      <w:r w:rsidRPr="00E71A8F">
        <w:rPr>
          <w:rFonts w:cs="Arial"/>
          <w:bCs/>
          <w:color w:val="000000"/>
          <w:sz w:val="16"/>
          <w:szCs w:val="16"/>
        </w:rPr>
        <w:t>Главен инженер</w:t>
      </w:r>
    </w:p>
    <w:p w14:paraId="4D42F40F" w14:textId="77777777" w:rsidR="0080648B" w:rsidRDefault="0080648B" w:rsidP="0080648B">
      <w:pPr>
        <w:pStyle w:val="Footer"/>
        <w:tabs>
          <w:tab w:val="right" w:pos="0"/>
        </w:tabs>
        <w:rPr>
          <w:rFonts w:cs="Arial"/>
          <w:bCs/>
          <w:color w:val="000000"/>
          <w:sz w:val="16"/>
          <w:szCs w:val="16"/>
        </w:rPr>
      </w:pPr>
    </w:p>
    <w:p w14:paraId="13F3CA34" w14:textId="77777777" w:rsidR="00AC3B1C" w:rsidRDefault="00183AB3" w:rsidP="0080648B">
      <w:pPr>
        <w:pStyle w:val="Footer"/>
        <w:tabs>
          <w:tab w:val="right" w:pos="0"/>
        </w:tabs>
        <w:rPr>
          <w:rFonts w:cs="Arial"/>
          <w:bCs/>
          <w:color w:val="000000"/>
          <w:sz w:val="16"/>
          <w:szCs w:val="16"/>
        </w:rPr>
      </w:pPr>
      <w:r>
        <w:rPr>
          <w:rFonts w:cs="Arial"/>
          <w:bCs/>
          <w:color w:val="000000"/>
          <w:sz w:val="16"/>
          <w:szCs w:val="16"/>
        </w:rPr>
        <w:t>Борис Петракиев</w:t>
      </w:r>
    </w:p>
    <w:p w14:paraId="50C878F9" w14:textId="79879126" w:rsidR="00183AB3" w:rsidRDefault="00AC3B1C" w:rsidP="0080648B">
      <w:pPr>
        <w:pStyle w:val="Footer"/>
        <w:tabs>
          <w:tab w:val="right" w:pos="0"/>
        </w:tabs>
        <w:rPr>
          <w:rFonts w:cs="Arial"/>
          <w:bCs/>
          <w:color w:val="000000"/>
          <w:sz w:val="16"/>
          <w:szCs w:val="16"/>
        </w:rPr>
      </w:pPr>
      <w:r>
        <w:rPr>
          <w:rFonts w:cs="Arial"/>
          <w:bCs/>
          <w:color w:val="000000"/>
          <w:sz w:val="16"/>
          <w:szCs w:val="16"/>
        </w:rPr>
        <w:t>Ръководител ПАВЕЦ „Чаира“</w:t>
      </w:r>
      <w:r w:rsidR="00183AB3">
        <w:rPr>
          <w:rFonts w:cs="Arial"/>
          <w:bCs/>
          <w:color w:val="000000"/>
          <w:sz w:val="16"/>
          <w:szCs w:val="16"/>
        </w:rPr>
        <w:t xml:space="preserve"> </w:t>
      </w:r>
    </w:p>
    <w:p w14:paraId="30CAAC10" w14:textId="77777777" w:rsidR="00183AB3" w:rsidRDefault="00183AB3" w:rsidP="0080648B">
      <w:pPr>
        <w:pStyle w:val="Footer"/>
        <w:tabs>
          <w:tab w:val="right" w:pos="0"/>
        </w:tabs>
        <w:rPr>
          <w:rFonts w:cs="Arial"/>
          <w:bCs/>
          <w:color w:val="000000"/>
          <w:sz w:val="16"/>
          <w:szCs w:val="16"/>
        </w:rPr>
      </w:pPr>
    </w:p>
    <w:p w14:paraId="77DBDF30" w14:textId="77777777" w:rsidR="00183AB3" w:rsidRPr="00E71A8F" w:rsidRDefault="00183AB3" w:rsidP="0080648B">
      <w:pPr>
        <w:pStyle w:val="Footer"/>
        <w:tabs>
          <w:tab w:val="right" w:pos="0"/>
        </w:tabs>
        <w:rPr>
          <w:rFonts w:cs="Arial"/>
          <w:bCs/>
          <w:color w:val="000000"/>
          <w:sz w:val="16"/>
          <w:szCs w:val="16"/>
        </w:rPr>
      </w:pPr>
    </w:p>
    <w:p w14:paraId="2E62572E" w14:textId="480E4EBF" w:rsidR="009E7CFC" w:rsidRPr="00E71A8F" w:rsidRDefault="009E7CFC" w:rsidP="009E7CFC">
      <w:pPr>
        <w:pStyle w:val="Footer"/>
        <w:tabs>
          <w:tab w:val="right" w:pos="0"/>
        </w:tabs>
        <w:rPr>
          <w:rFonts w:cs="Arial"/>
          <w:bCs/>
          <w:color w:val="000000"/>
          <w:sz w:val="16"/>
          <w:szCs w:val="16"/>
        </w:rPr>
      </w:pPr>
      <w:r w:rsidRPr="00E71A8F">
        <w:rPr>
          <w:rFonts w:cs="Arial"/>
          <w:bCs/>
          <w:color w:val="000000"/>
          <w:sz w:val="16"/>
          <w:szCs w:val="16"/>
        </w:rPr>
        <w:t xml:space="preserve">Катя Абрашева  </w:t>
      </w:r>
    </w:p>
    <w:p w14:paraId="0D3ED90D" w14:textId="5155B127" w:rsidR="00267614" w:rsidRDefault="009E7CFC" w:rsidP="009E7CFC">
      <w:pPr>
        <w:pStyle w:val="Footer"/>
        <w:tabs>
          <w:tab w:val="right" w:pos="0"/>
        </w:tabs>
        <w:rPr>
          <w:rFonts w:cs="Arial"/>
          <w:sz w:val="16"/>
          <w:szCs w:val="16"/>
        </w:rPr>
      </w:pPr>
      <w:r w:rsidRPr="00E71A8F">
        <w:rPr>
          <w:rFonts w:cs="Arial"/>
          <w:sz w:val="16"/>
          <w:szCs w:val="16"/>
        </w:rPr>
        <w:t>инженер, водни турбини отдел „Експлоатация и режими ВЕЦ“</w:t>
      </w:r>
    </w:p>
    <w:p w14:paraId="5F7A0BF8" w14:textId="682A0B06" w:rsidR="00267614" w:rsidRDefault="00267614" w:rsidP="009E7CFC">
      <w:pPr>
        <w:pStyle w:val="Footer"/>
        <w:tabs>
          <w:tab w:val="right" w:pos="0"/>
        </w:tabs>
        <w:rPr>
          <w:rFonts w:cs="Arial"/>
          <w:sz w:val="16"/>
          <w:szCs w:val="16"/>
        </w:rPr>
      </w:pPr>
    </w:p>
    <w:p w14:paraId="2FF5CE88" w14:textId="54F32994" w:rsidR="00267614" w:rsidRDefault="00267614" w:rsidP="009E7CFC">
      <w:pPr>
        <w:pStyle w:val="Footer"/>
        <w:tabs>
          <w:tab w:val="right" w:pos="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Веселин Симеонов</w:t>
      </w:r>
    </w:p>
    <w:p w14:paraId="21755C4A" w14:textId="0ED03DDE" w:rsidR="009E7CFC" w:rsidRDefault="00A10049" w:rsidP="00A10049">
      <w:pPr>
        <w:pStyle w:val="Footer"/>
        <w:tabs>
          <w:tab w:val="right" w:pos="0"/>
        </w:tabs>
        <w:rPr>
          <w:rFonts w:cs="Arial"/>
          <w:bCs/>
          <w:color w:val="000000"/>
          <w:sz w:val="16"/>
          <w:szCs w:val="16"/>
        </w:rPr>
      </w:pPr>
      <w:r w:rsidRPr="00A10049">
        <w:rPr>
          <w:rFonts w:cs="Arial"/>
          <w:sz w:val="16"/>
          <w:szCs w:val="16"/>
        </w:rPr>
        <w:t>Ръководител отдел ЗБУТ, район „Централна България“</w:t>
      </w:r>
    </w:p>
    <w:p w14:paraId="40349715" w14:textId="77777777" w:rsidR="0080648B" w:rsidRPr="00E71A8F" w:rsidRDefault="0080648B" w:rsidP="0080648B">
      <w:pPr>
        <w:pStyle w:val="Footer"/>
        <w:tabs>
          <w:tab w:val="right" w:pos="0"/>
        </w:tabs>
        <w:rPr>
          <w:rFonts w:cs="Arial"/>
          <w:bCs/>
          <w:color w:val="000000"/>
          <w:sz w:val="16"/>
          <w:szCs w:val="16"/>
        </w:rPr>
      </w:pPr>
    </w:p>
    <w:p w14:paraId="289E5C9B" w14:textId="7983B0C8" w:rsidR="0080648B" w:rsidRDefault="0080648B" w:rsidP="0080648B">
      <w:pPr>
        <w:pStyle w:val="Footer"/>
        <w:tabs>
          <w:tab w:val="right" w:pos="0"/>
        </w:tabs>
        <w:rPr>
          <w:rFonts w:cs="Arial"/>
          <w:bCs/>
          <w:color w:val="000000"/>
          <w:sz w:val="16"/>
          <w:szCs w:val="16"/>
        </w:rPr>
      </w:pPr>
      <w:bookmarkStart w:id="5" w:name="_Hlk21333718"/>
      <w:r w:rsidRPr="00E71A8F">
        <w:rPr>
          <w:rFonts w:cs="Arial"/>
          <w:bCs/>
          <w:color w:val="000000"/>
          <w:sz w:val="16"/>
          <w:szCs w:val="16"/>
        </w:rPr>
        <w:t>Изготвил</w:t>
      </w:r>
      <w:r w:rsidR="00183AB3">
        <w:rPr>
          <w:rFonts w:cs="Arial"/>
          <w:bCs/>
          <w:color w:val="000000"/>
          <w:sz w:val="16"/>
          <w:szCs w:val="16"/>
        </w:rPr>
        <w:t>и</w:t>
      </w:r>
      <w:r w:rsidRPr="00E71A8F">
        <w:rPr>
          <w:rFonts w:cs="Arial"/>
          <w:bCs/>
          <w:color w:val="000000"/>
          <w:sz w:val="16"/>
          <w:szCs w:val="16"/>
        </w:rPr>
        <w:t>:</w:t>
      </w:r>
    </w:p>
    <w:p w14:paraId="527852A0" w14:textId="77777777" w:rsidR="007D3097" w:rsidRPr="00E71A8F" w:rsidRDefault="007D3097" w:rsidP="0080648B">
      <w:pPr>
        <w:pStyle w:val="Footer"/>
        <w:tabs>
          <w:tab w:val="right" w:pos="0"/>
        </w:tabs>
        <w:rPr>
          <w:rFonts w:cs="Arial"/>
          <w:bCs/>
          <w:color w:val="000000"/>
          <w:sz w:val="16"/>
          <w:szCs w:val="16"/>
        </w:rPr>
      </w:pPr>
    </w:p>
    <w:bookmarkEnd w:id="5"/>
    <w:p w14:paraId="2B15AF40" w14:textId="77777777" w:rsidR="00183AB3" w:rsidRPr="00183AB3" w:rsidRDefault="00183AB3" w:rsidP="00183AB3">
      <w:pPr>
        <w:rPr>
          <w:rFonts w:cs="Arial"/>
          <w:bCs/>
          <w:color w:val="000000"/>
          <w:sz w:val="16"/>
          <w:szCs w:val="16"/>
        </w:rPr>
      </w:pPr>
      <w:r w:rsidRPr="00183AB3">
        <w:rPr>
          <w:rFonts w:cs="Arial"/>
          <w:bCs/>
          <w:color w:val="000000"/>
          <w:sz w:val="16"/>
          <w:szCs w:val="16"/>
        </w:rPr>
        <w:t>Габриела Борисова</w:t>
      </w:r>
    </w:p>
    <w:p w14:paraId="351879B7" w14:textId="79F0F5A0" w:rsidR="0080648B" w:rsidRPr="00E71A8F" w:rsidRDefault="00183AB3" w:rsidP="00183AB3">
      <w:pPr>
        <w:rPr>
          <w:rFonts w:cs="Arial"/>
          <w:sz w:val="16"/>
          <w:szCs w:val="16"/>
        </w:rPr>
      </w:pPr>
      <w:r w:rsidRPr="00183AB3">
        <w:rPr>
          <w:rFonts w:cs="Arial"/>
          <w:bCs/>
          <w:color w:val="000000"/>
          <w:sz w:val="16"/>
          <w:szCs w:val="16"/>
        </w:rPr>
        <w:t>Ръководител отдел „Маслено стопанство, екология и управление на отпадъци“</w:t>
      </w:r>
    </w:p>
    <w:p w14:paraId="78F2E9C1" w14:textId="77777777" w:rsidR="0080648B" w:rsidRDefault="0080648B" w:rsidP="00BF4628">
      <w:pPr>
        <w:rPr>
          <w:rFonts w:cs="Arial"/>
          <w:sz w:val="16"/>
          <w:szCs w:val="16"/>
        </w:rPr>
      </w:pPr>
    </w:p>
    <w:p w14:paraId="5602A335" w14:textId="4CED1BD9" w:rsidR="0080648B" w:rsidRDefault="00183AB3" w:rsidP="00BF462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Меотди Балдев</w:t>
      </w:r>
    </w:p>
    <w:p w14:paraId="398EC52F" w14:textId="4AE95985" w:rsidR="007D3097" w:rsidRDefault="007D3097" w:rsidP="00BF462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Ръководител отдел Е и Р</w:t>
      </w:r>
    </w:p>
    <w:p w14:paraId="1F544274" w14:textId="77777777" w:rsidR="0080648B" w:rsidRDefault="0080648B" w:rsidP="00BF4628">
      <w:pPr>
        <w:rPr>
          <w:rFonts w:cs="Arial"/>
          <w:sz w:val="16"/>
          <w:szCs w:val="16"/>
        </w:rPr>
      </w:pPr>
    </w:p>
    <w:p w14:paraId="7A3CB91B" w14:textId="77777777" w:rsidR="0080648B" w:rsidRDefault="0080648B" w:rsidP="00BF4628">
      <w:pPr>
        <w:rPr>
          <w:rFonts w:cs="Arial"/>
          <w:sz w:val="16"/>
          <w:szCs w:val="16"/>
        </w:rPr>
      </w:pPr>
    </w:p>
    <w:p w14:paraId="5FEEB53C" w14:textId="15903237" w:rsidR="00C709AC" w:rsidRPr="00E83613" w:rsidRDefault="00C709AC" w:rsidP="00BF4628">
      <w:pPr>
        <w:rPr>
          <w:rStyle w:val="FontStyle44"/>
          <w:color w:val="auto"/>
          <w:sz w:val="22"/>
          <w:szCs w:val="22"/>
        </w:rPr>
      </w:pPr>
    </w:p>
    <w:sectPr w:rsidR="00C709AC" w:rsidRPr="00E83613" w:rsidSect="004773F5"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2061" w14:textId="77777777" w:rsidR="00BB432E" w:rsidRDefault="00BB432E" w:rsidP="00CB37B4">
      <w:r>
        <w:separator/>
      </w:r>
    </w:p>
  </w:endnote>
  <w:endnote w:type="continuationSeparator" w:id="0">
    <w:p w14:paraId="5ED01364" w14:textId="77777777" w:rsidR="00BB432E" w:rsidRDefault="00BB432E" w:rsidP="00CB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rbel"/>
    <w:charset w:val="00"/>
    <w:family w:val="swiss"/>
    <w:pitch w:val="variable"/>
    <w:sig w:usb0="00000000" w:usb1="00000000" w:usb2="00000000" w:usb3="00000000" w:csb0="000000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EA30" w14:textId="54C1698C" w:rsidR="009E7CFC" w:rsidRDefault="0019526A" w:rsidP="0019526A">
    <w:pPr>
      <w:pStyle w:val="Footer"/>
      <w:tabs>
        <w:tab w:val="center" w:pos="4873"/>
        <w:tab w:val="right" w:pos="9746"/>
      </w:tabs>
    </w:pPr>
    <w:r>
      <w:rPr>
        <w:i/>
        <w:iCs/>
      </w:rPr>
      <w:tab/>
    </w:r>
    <w:r w:rsidRPr="0019526A">
      <w:rPr>
        <w:i/>
        <w:iCs/>
      </w:rPr>
      <w:t xml:space="preserve">Техническа спецификация: </w:t>
    </w:r>
    <w:r w:rsidR="009C1326" w:rsidRPr="009C1326">
      <w:rPr>
        <w:i/>
        <w:iCs/>
      </w:rPr>
      <w:t>ПАВЕЦ "Чаира" - Обследване и анализ на техническото състояние на маслонапълнен кабел 400 kV</w:t>
    </w:r>
    <w:r w:rsidR="009C1326">
      <w:rPr>
        <w:i/>
        <w:iCs/>
      </w:rPr>
      <w:tab/>
    </w:r>
    <w:r w:rsidR="009C1326">
      <w:rPr>
        <w:i/>
        <w:iCs/>
      </w:rPr>
      <w:tab/>
    </w:r>
    <w:r w:rsidR="009C1326">
      <w:rPr>
        <w:i/>
        <w:iCs/>
      </w:rPr>
      <w:tab/>
    </w:r>
    <w:r w:rsidRPr="0019526A">
      <w:rPr>
        <w:i/>
        <w:iCs/>
        <w:color w:val="000000" w:themeColor="text1"/>
      </w:rPr>
      <w:t xml:space="preserve">Стр. </w:t>
    </w:r>
    <w:r w:rsidRPr="0019526A">
      <w:rPr>
        <w:i/>
        <w:iCs/>
        <w:color w:val="000000" w:themeColor="text1"/>
      </w:rPr>
      <w:fldChar w:fldCharType="begin"/>
    </w:r>
    <w:r w:rsidRPr="0019526A">
      <w:rPr>
        <w:i/>
        <w:iCs/>
        <w:color w:val="000000" w:themeColor="text1"/>
      </w:rPr>
      <w:instrText>PAGE  \* Arabic  \* MERGEFORMAT</w:instrText>
    </w:r>
    <w:r w:rsidRPr="0019526A">
      <w:rPr>
        <w:i/>
        <w:iCs/>
        <w:color w:val="000000" w:themeColor="text1"/>
      </w:rPr>
      <w:fldChar w:fldCharType="separate"/>
    </w:r>
    <w:r w:rsidR="007532E2">
      <w:rPr>
        <w:i/>
        <w:iCs/>
        <w:noProof/>
        <w:color w:val="000000" w:themeColor="text1"/>
      </w:rPr>
      <w:t>2</w:t>
    </w:r>
    <w:r w:rsidRPr="0019526A">
      <w:rPr>
        <w:i/>
        <w:iCs/>
        <w:color w:val="000000" w:themeColor="text1"/>
      </w:rPr>
      <w:fldChar w:fldCharType="end"/>
    </w:r>
    <w:r w:rsidRPr="0019526A">
      <w:rPr>
        <w:i/>
        <w:iCs/>
        <w:color w:val="000000" w:themeColor="text1"/>
      </w:rPr>
      <w:t xml:space="preserve"> от </w:t>
    </w:r>
    <w:r w:rsidRPr="0019526A">
      <w:rPr>
        <w:i/>
        <w:iCs/>
        <w:color w:val="000000" w:themeColor="text1"/>
      </w:rPr>
      <w:fldChar w:fldCharType="begin"/>
    </w:r>
    <w:r w:rsidRPr="0019526A">
      <w:rPr>
        <w:i/>
        <w:iCs/>
        <w:color w:val="000000" w:themeColor="text1"/>
      </w:rPr>
      <w:instrText>NUMPAGES  \* Arabic  \* MERGEFORMAT</w:instrText>
    </w:r>
    <w:r w:rsidRPr="0019526A">
      <w:rPr>
        <w:i/>
        <w:iCs/>
        <w:color w:val="000000" w:themeColor="text1"/>
      </w:rPr>
      <w:fldChar w:fldCharType="separate"/>
    </w:r>
    <w:r w:rsidR="007532E2">
      <w:rPr>
        <w:i/>
        <w:iCs/>
        <w:noProof/>
        <w:color w:val="000000" w:themeColor="text1"/>
      </w:rPr>
      <w:t>5</w:t>
    </w:r>
    <w:r w:rsidRPr="0019526A">
      <w:rPr>
        <w:i/>
        <w:iCs/>
        <w:color w:val="000000" w:themeColor="text1"/>
      </w:rPr>
      <w:fldChar w:fldCharType="end"/>
    </w:r>
    <w:r>
      <w:rPr>
        <w:i/>
        <w:iCs/>
        <w:color w:val="000000" w:themeColor="text1"/>
      </w:rPr>
      <w:tab/>
    </w:r>
    <w:r>
      <w:rPr>
        <w:i/>
        <w:iCs/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B5DD" w14:textId="77777777" w:rsidR="00BB432E" w:rsidRDefault="00BB432E" w:rsidP="00CB37B4">
      <w:r>
        <w:separator/>
      </w:r>
    </w:p>
  </w:footnote>
  <w:footnote w:type="continuationSeparator" w:id="0">
    <w:p w14:paraId="53F29F60" w14:textId="77777777" w:rsidR="00BB432E" w:rsidRDefault="00BB432E" w:rsidP="00CB3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5F9"/>
    <w:multiLevelType w:val="multilevel"/>
    <w:tmpl w:val="C20CC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AF2488"/>
    <w:multiLevelType w:val="hybridMultilevel"/>
    <w:tmpl w:val="855A3E50"/>
    <w:lvl w:ilvl="0" w:tplc="E00496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416A"/>
    <w:multiLevelType w:val="hybridMultilevel"/>
    <w:tmpl w:val="7ECE0A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7505"/>
    <w:multiLevelType w:val="hybridMultilevel"/>
    <w:tmpl w:val="0792A6C0"/>
    <w:lvl w:ilvl="0" w:tplc="344E0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C119D"/>
    <w:multiLevelType w:val="hybridMultilevel"/>
    <w:tmpl w:val="E6CE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7606816"/>
    <w:multiLevelType w:val="multilevel"/>
    <w:tmpl w:val="90ACA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7C7307"/>
    <w:multiLevelType w:val="hybridMultilevel"/>
    <w:tmpl w:val="E3C6BF1A"/>
    <w:lvl w:ilvl="0" w:tplc="879859EA">
      <w:start w:val="1"/>
      <w:numFmt w:val="decimal"/>
      <w:lvlText w:val="5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4A15"/>
    <w:multiLevelType w:val="hybridMultilevel"/>
    <w:tmpl w:val="D5828FF0"/>
    <w:lvl w:ilvl="0" w:tplc="6388CA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A62016"/>
    <w:multiLevelType w:val="multilevel"/>
    <w:tmpl w:val="71E4A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22525F4E"/>
    <w:multiLevelType w:val="hybridMultilevel"/>
    <w:tmpl w:val="D88C1410"/>
    <w:lvl w:ilvl="0" w:tplc="A9EC5C88">
      <w:start w:val="1"/>
      <w:numFmt w:val="decimal"/>
      <w:lvlText w:val="4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42D11"/>
    <w:multiLevelType w:val="hybridMultilevel"/>
    <w:tmpl w:val="CE9A84E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50149B3"/>
    <w:multiLevelType w:val="multilevel"/>
    <w:tmpl w:val="271846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4" w15:restartNumberingAfterBreak="0">
    <w:nsid w:val="27CD1FB4"/>
    <w:multiLevelType w:val="hybridMultilevel"/>
    <w:tmpl w:val="0A28E2B2"/>
    <w:lvl w:ilvl="0" w:tplc="F1FCEB7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BE156F"/>
    <w:multiLevelType w:val="multilevel"/>
    <w:tmpl w:val="D93EAB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A0D7A1C"/>
    <w:multiLevelType w:val="hybridMultilevel"/>
    <w:tmpl w:val="D1C8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853E4"/>
    <w:multiLevelType w:val="hybridMultilevel"/>
    <w:tmpl w:val="4E28A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1B2D"/>
    <w:multiLevelType w:val="hybridMultilevel"/>
    <w:tmpl w:val="958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57521"/>
    <w:multiLevelType w:val="multilevel"/>
    <w:tmpl w:val="3482C58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5B48AB"/>
    <w:multiLevelType w:val="hybridMultilevel"/>
    <w:tmpl w:val="FB1AD178"/>
    <w:lvl w:ilvl="0" w:tplc="F1FCEB7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90570"/>
    <w:multiLevelType w:val="hybridMultilevel"/>
    <w:tmpl w:val="8E2CA13E"/>
    <w:lvl w:ilvl="0" w:tplc="4AE48ECC">
      <w:start w:val="4"/>
      <w:numFmt w:val="bullet"/>
      <w:lvlText w:val="-"/>
      <w:lvlJc w:val="left"/>
      <w:pPr>
        <w:ind w:left="0" w:firstLine="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C4994"/>
    <w:multiLevelType w:val="hybridMultilevel"/>
    <w:tmpl w:val="5100C480"/>
    <w:lvl w:ilvl="0" w:tplc="24344B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B72EC"/>
    <w:multiLevelType w:val="hybridMultilevel"/>
    <w:tmpl w:val="10E0DBCC"/>
    <w:lvl w:ilvl="0" w:tplc="1250CFA8">
      <w:start w:val="4"/>
      <w:numFmt w:val="bullet"/>
      <w:lvlText w:val="•"/>
      <w:lvlJc w:val="left"/>
      <w:pPr>
        <w:ind w:left="0" w:firstLine="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376E1"/>
    <w:multiLevelType w:val="multilevel"/>
    <w:tmpl w:val="822E9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230F0A"/>
    <w:multiLevelType w:val="hybridMultilevel"/>
    <w:tmpl w:val="406A8B94"/>
    <w:lvl w:ilvl="0" w:tplc="4AE48ECC">
      <w:start w:val="4"/>
      <w:numFmt w:val="bullet"/>
      <w:lvlText w:val="-"/>
      <w:lvlJc w:val="left"/>
      <w:pPr>
        <w:ind w:left="0" w:firstLine="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A0E46"/>
    <w:multiLevelType w:val="hybridMultilevel"/>
    <w:tmpl w:val="50C86C32"/>
    <w:lvl w:ilvl="0" w:tplc="4AE48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16075"/>
    <w:multiLevelType w:val="hybridMultilevel"/>
    <w:tmpl w:val="6E0E70EC"/>
    <w:lvl w:ilvl="0" w:tplc="71EE34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424EA"/>
    <w:multiLevelType w:val="hybridMultilevel"/>
    <w:tmpl w:val="FED26E88"/>
    <w:lvl w:ilvl="0" w:tplc="040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5AE9589C"/>
    <w:multiLevelType w:val="hybridMultilevel"/>
    <w:tmpl w:val="33C0D3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A1411"/>
    <w:multiLevelType w:val="multilevel"/>
    <w:tmpl w:val="C20CC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EB0E2A"/>
    <w:multiLevelType w:val="hybridMultilevel"/>
    <w:tmpl w:val="58121DD8"/>
    <w:lvl w:ilvl="0" w:tplc="EEEECB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D596D"/>
    <w:multiLevelType w:val="multilevel"/>
    <w:tmpl w:val="D10E98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71693B"/>
    <w:multiLevelType w:val="hybridMultilevel"/>
    <w:tmpl w:val="67DE3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C2814"/>
    <w:multiLevelType w:val="multilevel"/>
    <w:tmpl w:val="90ACA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6F7F7E"/>
    <w:multiLevelType w:val="hybridMultilevel"/>
    <w:tmpl w:val="6A024FF2"/>
    <w:lvl w:ilvl="0" w:tplc="E00496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53E3C"/>
    <w:multiLevelType w:val="hybridMultilevel"/>
    <w:tmpl w:val="2FC2A9AE"/>
    <w:lvl w:ilvl="0" w:tplc="E00496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E5C2D"/>
    <w:multiLevelType w:val="hybridMultilevel"/>
    <w:tmpl w:val="A29E35A6"/>
    <w:lvl w:ilvl="0" w:tplc="1250CFA8">
      <w:start w:val="4"/>
      <w:numFmt w:val="bullet"/>
      <w:lvlText w:val="•"/>
      <w:lvlJc w:val="left"/>
      <w:pPr>
        <w:ind w:left="0" w:firstLine="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ED1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6E61EE0"/>
    <w:multiLevelType w:val="hybridMultilevel"/>
    <w:tmpl w:val="D8CCB976"/>
    <w:lvl w:ilvl="0" w:tplc="4AE48ECC">
      <w:start w:val="4"/>
      <w:numFmt w:val="bullet"/>
      <w:lvlText w:val="-"/>
      <w:lvlJc w:val="left"/>
      <w:pPr>
        <w:ind w:left="0" w:firstLine="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B2C30"/>
    <w:multiLevelType w:val="hybridMultilevel"/>
    <w:tmpl w:val="CCC42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82589"/>
    <w:multiLevelType w:val="hybridMultilevel"/>
    <w:tmpl w:val="8098D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A0778"/>
    <w:multiLevelType w:val="multilevel"/>
    <w:tmpl w:val="EED2AD5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7EC06783"/>
    <w:multiLevelType w:val="multilevel"/>
    <w:tmpl w:val="4AD40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42687857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446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81005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328715">
    <w:abstractNumId w:val="28"/>
  </w:num>
  <w:num w:numId="5" w16cid:durableId="750395713">
    <w:abstractNumId w:val="3"/>
  </w:num>
  <w:num w:numId="6" w16cid:durableId="1213156666">
    <w:abstractNumId w:val="32"/>
  </w:num>
  <w:num w:numId="7" w16cid:durableId="1445884023">
    <w:abstractNumId w:val="18"/>
  </w:num>
  <w:num w:numId="8" w16cid:durableId="5477655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3602971">
    <w:abstractNumId w:val="26"/>
  </w:num>
  <w:num w:numId="10" w16cid:durableId="565729705">
    <w:abstractNumId w:val="9"/>
  </w:num>
  <w:num w:numId="11" w16cid:durableId="870654294">
    <w:abstractNumId w:val="4"/>
  </w:num>
  <w:num w:numId="12" w16cid:durableId="1644389852">
    <w:abstractNumId w:val="41"/>
  </w:num>
  <w:num w:numId="13" w16cid:durableId="489294646">
    <w:abstractNumId w:val="43"/>
  </w:num>
  <w:num w:numId="14" w16cid:durableId="1828085062">
    <w:abstractNumId w:val="15"/>
  </w:num>
  <w:num w:numId="15" w16cid:durableId="1006861724">
    <w:abstractNumId w:val="13"/>
  </w:num>
  <w:num w:numId="16" w16cid:durableId="1494569297">
    <w:abstractNumId w:val="33"/>
  </w:num>
  <w:num w:numId="17" w16cid:durableId="1375697744">
    <w:abstractNumId w:val="30"/>
  </w:num>
  <w:num w:numId="18" w16cid:durableId="1210068130">
    <w:abstractNumId w:val="44"/>
  </w:num>
  <w:num w:numId="19" w16cid:durableId="35352056">
    <w:abstractNumId w:val="2"/>
  </w:num>
  <w:num w:numId="20" w16cid:durableId="644549476">
    <w:abstractNumId w:val="34"/>
  </w:num>
  <w:num w:numId="21" w16cid:durableId="962610842">
    <w:abstractNumId w:val="5"/>
  </w:num>
  <w:num w:numId="22" w16cid:durableId="423764276">
    <w:abstractNumId w:val="29"/>
  </w:num>
  <w:num w:numId="23" w16cid:durableId="1386249556">
    <w:abstractNumId w:val="22"/>
  </w:num>
  <w:num w:numId="24" w16cid:durableId="1672487766">
    <w:abstractNumId w:val="16"/>
  </w:num>
  <w:num w:numId="25" w16cid:durableId="1986664230">
    <w:abstractNumId w:val="42"/>
  </w:num>
  <w:num w:numId="26" w16cid:durableId="266618187">
    <w:abstractNumId w:val="8"/>
  </w:num>
  <w:num w:numId="27" w16cid:durableId="1464687803">
    <w:abstractNumId w:val="12"/>
  </w:num>
  <w:num w:numId="28" w16cid:durableId="322707281">
    <w:abstractNumId w:val="19"/>
  </w:num>
  <w:num w:numId="29" w16cid:durableId="1789006173">
    <w:abstractNumId w:val="1"/>
  </w:num>
  <w:num w:numId="30" w16cid:durableId="545871938">
    <w:abstractNumId w:val="37"/>
  </w:num>
  <w:num w:numId="31" w16cid:durableId="52002259">
    <w:abstractNumId w:val="36"/>
  </w:num>
  <w:num w:numId="32" w16cid:durableId="853226421">
    <w:abstractNumId w:val="45"/>
  </w:num>
  <w:num w:numId="33" w16cid:durableId="1561869881">
    <w:abstractNumId w:val="14"/>
  </w:num>
  <w:num w:numId="34" w16cid:durableId="1393579431">
    <w:abstractNumId w:val="17"/>
  </w:num>
  <w:num w:numId="35" w16cid:durableId="913472947">
    <w:abstractNumId w:val="6"/>
  </w:num>
  <w:num w:numId="36" w16cid:durableId="812916523">
    <w:abstractNumId w:val="0"/>
  </w:num>
  <w:num w:numId="37" w16cid:durableId="1790974905">
    <w:abstractNumId w:val="31"/>
  </w:num>
  <w:num w:numId="38" w16cid:durableId="1566909273">
    <w:abstractNumId w:val="20"/>
  </w:num>
  <w:num w:numId="39" w16cid:durableId="1456288822">
    <w:abstractNumId w:val="40"/>
  </w:num>
  <w:num w:numId="40" w16cid:durableId="1060591161">
    <w:abstractNumId w:val="25"/>
  </w:num>
  <w:num w:numId="41" w16cid:durableId="515000493">
    <w:abstractNumId w:val="38"/>
  </w:num>
  <w:num w:numId="42" w16cid:durableId="2017805826">
    <w:abstractNumId w:val="23"/>
  </w:num>
  <w:num w:numId="43" w16cid:durableId="1797409175">
    <w:abstractNumId w:val="21"/>
  </w:num>
  <w:num w:numId="44" w16cid:durableId="1848863853">
    <w:abstractNumId w:val="35"/>
  </w:num>
  <w:num w:numId="45" w16cid:durableId="126902058">
    <w:abstractNumId w:val="39"/>
  </w:num>
  <w:num w:numId="46" w16cid:durableId="1739597565">
    <w:abstractNumId w:val="27"/>
  </w:num>
  <w:num w:numId="47" w16cid:durableId="1051147496">
    <w:abstractNumId w:val="46"/>
  </w:num>
  <w:num w:numId="48" w16cid:durableId="12366291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C3"/>
    <w:rsid w:val="00003E31"/>
    <w:rsid w:val="0000408F"/>
    <w:rsid w:val="00006657"/>
    <w:rsid w:val="00035A79"/>
    <w:rsid w:val="000521B0"/>
    <w:rsid w:val="000535EB"/>
    <w:rsid w:val="000564E9"/>
    <w:rsid w:val="00075087"/>
    <w:rsid w:val="0008179B"/>
    <w:rsid w:val="00083B98"/>
    <w:rsid w:val="00086BD4"/>
    <w:rsid w:val="000872EF"/>
    <w:rsid w:val="000C6137"/>
    <w:rsid w:val="000D5247"/>
    <w:rsid w:val="000E3AB1"/>
    <w:rsid w:val="000E65DC"/>
    <w:rsid w:val="000F3823"/>
    <w:rsid w:val="000F6570"/>
    <w:rsid w:val="00101520"/>
    <w:rsid w:val="00105B2D"/>
    <w:rsid w:val="00105C2B"/>
    <w:rsid w:val="0011545B"/>
    <w:rsid w:val="00123DC8"/>
    <w:rsid w:val="00127819"/>
    <w:rsid w:val="0013316F"/>
    <w:rsid w:val="00144F8E"/>
    <w:rsid w:val="00147618"/>
    <w:rsid w:val="00147F3F"/>
    <w:rsid w:val="00172974"/>
    <w:rsid w:val="00173C9F"/>
    <w:rsid w:val="00176E85"/>
    <w:rsid w:val="00180DDB"/>
    <w:rsid w:val="00183AB3"/>
    <w:rsid w:val="0019526A"/>
    <w:rsid w:val="001A60C7"/>
    <w:rsid w:val="001B1433"/>
    <w:rsid w:val="001B1ABD"/>
    <w:rsid w:val="001C3AD2"/>
    <w:rsid w:val="001C4FA1"/>
    <w:rsid w:val="001E677F"/>
    <w:rsid w:val="001F0FFC"/>
    <w:rsid w:val="001F5A3A"/>
    <w:rsid w:val="001F665F"/>
    <w:rsid w:val="001F6F89"/>
    <w:rsid w:val="00203515"/>
    <w:rsid w:val="0021039B"/>
    <w:rsid w:val="00210A1C"/>
    <w:rsid w:val="0021270D"/>
    <w:rsid w:val="00217EF9"/>
    <w:rsid w:val="002333BA"/>
    <w:rsid w:val="00241AF6"/>
    <w:rsid w:val="00242213"/>
    <w:rsid w:val="00243184"/>
    <w:rsid w:val="00244726"/>
    <w:rsid w:val="00244F38"/>
    <w:rsid w:val="00247B44"/>
    <w:rsid w:val="00255AAA"/>
    <w:rsid w:val="002637B8"/>
    <w:rsid w:val="00267614"/>
    <w:rsid w:val="00296CBC"/>
    <w:rsid w:val="002A6DF3"/>
    <w:rsid w:val="002B21DF"/>
    <w:rsid w:val="002B2CB7"/>
    <w:rsid w:val="002B4884"/>
    <w:rsid w:val="002C1F53"/>
    <w:rsid w:val="002C627C"/>
    <w:rsid w:val="002C70DE"/>
    <w:rsid w:val="002D3C39"/>
    <w:rsid w:val="002D43C7"/>
    <w:rsid w:val="002E03C6"/>
    <w:rsid w:val="002E1C8C"/>
    <w:rsid w:val="002E4382"/>
    <w:rsid w:val="002E5308"/>
    <w:rsid w:val="002E603C"/>
    <w:rsid w:val="002F6919"/>
    <w:rsid w:val="00311D56"/>
    <w:rsid w:val="00333349"/>
    <w:rsid w:val="00334EDE"/>
    <w:rsid w:val="00344C91"/>
    <w:rsid w:val="003574F9"/>
    <w:rsid w:val="00360F9C"/>
    <w:rsid w:val="003651F0"/>
    <w:rsid w:val="00371174"/>
    <w:rsid w:val="00373602"/>
    <w:rsid w:val="00374EB1"/>
    <w:rsid w:val="00377AF1"/>
    <w:rsid w:val="00382A6B"/>
    <w:rsid w:val="00392389"/>
    <w:rsid w:val="003B1AD9"/>
    <w:rsid w:val="003B724B"/>
    <w:rsid w:val="003D2389"/>
    <w:rsid w:val="003D5345"/>
    <w:rsid w:val="003E1190"/>
    <w:rsid w:val="003E556A"/>
    <w:rsid w:val="003F67BB"/>
    <w:rsid w:val="004137C1"/>
    <w:rsid w:val="00417794"/>
    <w:rsid w:val="004555FA"/>
    <w:rsid w:val="00462265"/>
    <w:rsid w:val="004773F5"/>
    <w:rsid w:val="00491729"/>
    <w:rsid w:val="0049646F"/>
    <w:rsid w:val="004A4676"/>
    <w:rsid w:val="004A5F8F"/>
    <w:rsid w:val="004B1BEB"/>
    <w:rsid w:val="004C6DA4"/>
    <w:rsid w:val="004C7FCE"/>
    <w:rsid w:val="004D7D24"/>
    <w:rsid w:val="004E0C6E"/>
    <w:rsid w:val="00501A3A"/>
    <w:rsid w:val="005100C2"/>
    <w:rsid w:val="005303F3"/>
    <w:rsid w:val="0053328E"/>
    <w:rsid w:val="00533368"/>
    <w:rsid w:val="00535F70"/>
    <w:rsid w:val="00542CB1"/>
    <w:rsid w:val="00550F21"/>
    <w:rsid w:val="00557E2C"/>
    <w:rsid w:val="00557F1B"/>
    <w:rsid w:val="005628A3"/>
    <w:rsid w:val="00575B4F"/>
    <w:rsid w:val="00580D07"/>
    <w:rsid w:val="00584C03"/>
    <w:rsid w:val="00586D5F"/>
    <w:rsid w:val="005A335F"/>
    <w:rsid w:val="005B305F"/>
    <w:rsid w:val="005C3F29"/>
    <w:rsid w:val="005D5104"/>
    <w:rsid w:val="005E0459"/>
    <w:rsid w:val="005F4FDD"/>
    <w:rsid w:val="005F5DE5"/>
    <w:rsid w:val="006018FF"/>
    <w:rsid w:val="00602F41"/>
    <w:rsid w:val="00607C60"/>
    <w:rsid w:val="006137D3"/>
    <w:rsid w:val="00621D59"/>
    <w:rsid w:val="00626E35"/>
    <w:rsid w:val="00631340"/>
    <w:rsid w:val="006315D8"/>
    <w:rsid w:val="0064199B"/>
    <w:rsid w:val="006523FE"/>
    <w:rsid w:val="00657CD6"/>
    <w:rsid w:val="00665E58"/>
    <w:rsid w:val="00672238"/>
    <w:rsid w:val="00692E27"/>
    <w:rsid w:val="006A4CEE"/>
    <w:rsid w:val="006B1509"/>
    <w:rsid w:val="006B3A83"/>
    <w:rsid w:val="006C2D97"/>
    <w:rsid w:val="006C4517"/>
    <w:rsid w:val="006E1CD2"/>
    <w:rsid w:val="006F11C1"/>
    <w:rsid w:val="006F177D"/>
    <w:rsid w:val="0070207E"/>
    <w:rsid w:val="00702C93"/>
    <w:rsid w:val="00704AB6"/>
    <w:rsid w:val="00706336"/>
    <w:rsid w:val="00713FB3"/>
    <w:rsid w:val="007144AE"/>
    <w:rsid w:val="00714C5E"/>
    <w:rsid w:val="00724983"/>
    <w:rsid w:val="007250D6"/>
    <w:rsid w:val="007304C6"/>
    <w:rsid w:val="00734670"/>
    <w:rsid w:val="00736185"/>
    <w:rsid w:val="00742A0E"/>
    <w:rsid w:val="0074602F"/>
    <w:rsid w:val="00751C60"/>
    <w:rsid w:val="007532E2"/>
    <w:rsid w:val="00757FF0"/>
    <w:rsid w:val="0076081B"/>
    <w:rsid w:val="007639D9"/>
    <w:rsid w:val="00764909"/>
    <w:rsid w:val="00777E0D"/>
    <w:rsid w:val="00780665"/>
    <w:rsid w:val="00782E3F"/>
    <w:rsid w:val="00790E6C"/>
    <w:rsid w:val="00790E9C"/>
    <w:rsid w:val="00792497"/>
    <w:rsid w:val="007A27B0"/>
    <w:rsid w:val="007A41FD"/>
    <w:rsid w:val="007B1F05"/>
    <w:rsid w:val="007B7E66"/>
    <w:rsid w:val="007C0A06"/>
    <w:rsid w:val="007C459B"/>
    <w:rsid w:val="007D3097"/>
    <w:rsid w:val="007F5729"/>
    <w:rsid w:val="00800D7E"/>
    <w:rsid w:val="0080648B"/>
    <w:rsid w:val="0080688C"/>
    <w:rsid w:val="00812A92"/>
    <w:rsid w:val="00815DD6"/>
    <w:rsid w:val="008400F0"/>
    <w:rsid w:val="0084294E"/>
    <w:rsid w:val="0084322B"/>
    <w:rsid w:val="008509CC"/>
    <w:rsid w:val="00880089"/>
    <w:rsid w:val="0089151E"/>
    <w:rsid w:val="008923E1"/>
    <w:rsid w:val="00893A4F"/>
    <w:rsid w:val="00894BB4"/>
    <w:rsid w:val="008B308E"/>
    <w:rsid w:val="008E4E29"/>
    <w:rsid w:val="008E6060"/>
    <w:rsid w:val="008F2483"/>
    <w:rsid w:val="00902C9D"/>
    <w:rsid w:val="009075DA"/>
    <w:rsid w:val="00915BA5"/>
    <w:rsid w:val="00921568"/>
    <w:rsid w:val="00921E54"/>
    <w:rsid w:val="00924F19"/>
    <w:rsid w:val="009342DB"/>
    <w:rsid w:val="00935695"/>
    <w:rsid w:val="009417CB"/>
    <w:rsid w:val="009420B0"/>
    <w:rsid w:val="00943C6E"/>
    <w:rsid w:val="00950EEA"/>
    <w:rsid w:val="00955F0A"/>
    <w:rsid w:val="009733CF"/>
    <w:rsid w:val="00975802"/>
    <w:rsid w:val="0098013B"/>
    <w:rsid w:val="00981623"/>
    <w:rsid w:val="009A5140"/>
    <w:rsid w:val="009A53C5"/>
    <w:rsid w:val="009C1326"/>
    <w:rsid w:val="009D305C"/>
    <w:rsid w:val="009D30FD"/>
    <w:rsid w:val="009D6AF7"/>
    <w:rsid w:val="009E75D0"/>
    <w:rsid w:val="009E7CFC"/>
    <w:rsid w:val="00A00B6D"/>
    <w:rsid w:val="00A04B6A"/>
    <w:rsid w:val="00A10049"/>
    <w:rsid w:val="00A16B9B"/>
    <w:rsid w:val="00A16CB7"/>
    <w:rsid w:val="00A45919"/>
    <w:rsid w:val="00A50D10"/>
    <w:rsid w:val="00A54C11"/>
    <w:rsid w:val="00A769AC"/>
    <w:rsid w:val="00A84D14"/>
    <w:rsid w:val="00AA31D7"/>
    <w:rsid w:val="00AA33EB"/>
    <w:rsid w:val="00AA74C5"/>
    <w:rsid w:val="00AB7C1D"/>
    <w:rsid w:val="00AB7D9E"/>
    <w:rsid w:val="00AC3B1C"/>
    <w:rsid w:val="00AC4466"/>
    <w:rsid w:val="00AC70CB"/>
    <w:rsid w:val="00AD10B0"/>
    <w:rsid w:val="00AD2BB1"/>
    <w:rsid w:val="00AE1F09"/>
    <w:rsid w:val="00AE1FC0"/>
    <w:rsid w:val="00AE3ED9"/>
    <w:rsid w:val="00AE658B"/>
    <w:rsid w:val="00AE6D73"/>
    <w:rsid w:val="00AE6D90"/>
    <w:rsid w:val="00B10557"/>
    <w:rsid w:val="00B107F0"/>
    <w:rsid w:val="00B3082F"/>
    <w:rsid w:val="00B3201E"/>
    <w:rsid w:val="00B33D07"/>
    <w:rsid w:val="00B349E4"/>
    <w:rsid w:val="00B379FC"/>
    <w:rsid w:val="00B529AD"/>
    <w:rsid w:val="00B53AF7"/>
    <w:rsid w:val="00B55B8C"/>
    <w:rsid w:val="00B62807"/>
    <w:rsid w:val="00B662DC"/>
    <w:rsid w:val="00B7548D"/>
    <w:rsid w:val="00B83640"/>
    <w:rsid w:val="00B87015"/>
    <w:rsid w:val="00B94095"/>
    <w:rsid w:val="00B97A87"/>
    <w:rsid w:val="00BA3273"/>
    <w:rsid w:val="00BA3A23"/>
    <w:rsid w:val="00BA4970"/>
    <w:rsid w:val="00BA4E87"/>
    <w:rsid w:val="00BB432E"/>
    <w:rsid w:val="00BB5412"/>
    <w:rsid w:val="00BC0433"/>
    <w:rsid w:val="00BC0738"/>
    <w:rsid w:val="00BC5684"/>
    <w:rsid w:val="00BF36A6"/>
    <w:rsid w:val="00BF4628"/>
    <w:rsid w:val="00BF6282"/>
    <w:rsid w:val="00C02A56"/>
    <w:rsid w:val="00C075D5"/>
    <w:rsid w:val="00C07F53"/>
    <w:rsid w:val="00C17CA2"/>
    <w:rsid w:val="00C26544"/>
    <w:rsid w:val="00C33381"/>
    <w:rsid w:val="00C5701A"/>
    <w:rsid w:val="00C674CA"/>
    <w:rsid w:val="00C709AC"/>
    <w:rsid w:val="00C81C61"/>
    <w:rsid w:val="00C90C7F"/>
    <w:rsid w:val="00C9149C"/>
    <w:rsid w:val="00C917BB"/>
    <w:rsid w:val="00C91BAB"/>
    <w:rsid w:val="00C92080"/>
    <w:rsid w:val="00CB37B4"/>
    <w:rsid w:val="00CC6CC8"/>
    <w:rsid w:val="00CD0D4F"/>
    <w:rsid w:val="00CD4966"/>
    <w:rsid w:val="00CE3E09"/>
    <w:rsid w:val="00CE43CA"/>
    <w:rsid w:val="00CE4CAC"/>
    <w:rsid w:val="00CF481A"/>
    <w:rsid w:val="00D21F52"/>
    <w:rsid w:val="00D25577"/>
    <w:rsid w:val="00D25773"/>
    <w:rsid w:val="00D302B7"/>
    <w:rsid w:val="00D33970"/>
    <w:rsid w:val="00D3415C"/>
    <w:rsid w:val="00D35361"/>
    <w:rsid w:val="00D35C5A"/>
    <w:rsid w:val="00D3739D"/>
    <w:rsid w:val="00D4103D"/>
    <w:rsid w:val="00D5215A"/>
    <w:rsid w:val="00D8692B"/>
    <w:rsid w:val="00D917E6"/>
    <w:rsid w:val="00DA109B"/>
    <w:rsid w:val="00DA756F"/>
    <w:rsid w:val="00DB3210"/>
    <w:rsid w:val="00DC077D"/>
    <w:rsid w:val="00DC09FA"/>
    <w:rsid w:val="00DC3084"/>
    <w:rsid w:val="00DD3377"/>
    <w:rsid w:val="00DE1487"/>
    <w:rsid w:val="00DE4D5D"/>
    <w:rsid w:val="00DF524B"/>
    <w:rsid w:val="00E02387"/>
    <w:rsid w:val="00E02401"/>
    <w:rsid w:val="00E04B78"/>
    <w:rsid w:val="00E103BF"/>
    <w:rsid w:val="00E1436D"/>
    <w:rsid w:val="00E24760"/>
    <w:rsid w:val="00E532C1"/>
    <w:rsid w:val="00E61F45"/>
    <w:rsid w:val="00E71A8F"/>
    <w:rsid w:val="00E73351"/>
    <w:rsid w:val="00E760B4"/>
    <w:rsid w:val="00E83613"/>
    <w:rsid w:val="00E85A87"/>
    <w:rsid w:val="00E908FF"/>
    <w:rsid w:val="00E90C59"/>
    <w:rsid w:val="00E962EB"/>
    <w:rsid w:val="00EB3B49"/>
    <w:rsid w:val="00EB72C6"/>
    <w:rsid w:val="00EC03F9"/>
    <w:rsid w:val="00ED5831"/>
    <w:rsid w:val="00EF0678"/>
    <w:rsid w:val="00F00B00"/>
    <w:rsid w:val="00F125C3"/>
    <w:rsid w:val="00F13670"/>
    <w:rsid w:val="00F253A9"/>
    <w:rsid w:val="00F25C49"/>
    <w:rsid w:val="00F35D52"/>
    <w:rsid w:val="00F46FA1"/>
    <w:rsid w:val="00F53EC9"/>
    <w:rsid w:val="00F57560"/>
    <w:rsid w:val="00F67EFA"/>
    <w:rsid w:val="00FA1FF4"/>
    <w:rsid w:val="00FA458C"/>
    <w:rsid w:val="00FB44B1"/>
    <w:rsid w:val="00FC2057"/>
    <w:rsid w:val="00FD4D3A"/>
    <w:rsid w:val="00FF0234"/>
    <w:rsid w:val="00FF567D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C944BE"/>
  <w15:docId w15:val="{C355D142-AB87-4BD2-AD86-DC4D6CCE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9C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0D4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Подраздел 1 Char"/>
    <w:link w:val="1"/>
    <w:uiPriority w:val="99"/>
    <w:locked/>
    <w:rsid w:val="005F5DE5"/>
    <w:rPr>
      <w:rFonts w:ascii="Calibri" w:eastAsia="Calibri" w:hAnsi="Calibri" w:cs="Calibri"/>
    </w:rPr>
  </w:style>
  <w:style w:type="paragraph" w:customStyle="1" w:styleId="1">
    <w:name w:val="Подраздел 1"/>
    <w:basedOn w:val="Normal"/>
    <w:link w:val="1Char"/>
    <w:uiPriority w:val="99"/>
    <w:rsid w:val="005F5DE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5DE5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F5D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semiHidden/>
    <w:unhideWhenUsed/>
    <w:rsid w:val="005F5DE5"/>
  </w:style>
  <w:style w:type="paragraph" w:styleId="Footer">
    <w:name w:val="footer"/>
    <w:basedOn w:val="Normal"/>
    <w:link w:val="FooterChar"/>
    <w:uiPriority w:val="99"/>
    <w:unhideWhenUsed/>
    <w:rsid w:val="00CB37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7B4"/>
    <w:rPr>
      <w:rFonts w:ascii="Arial" w:eastAsia="Times New Roman" w:hAnsi="Arial" w:cs="Times New Roman"/>
      <w:sz w:val="20"/>
      <w:szCs w:val="20"/>
      <w:lang w:eastAsia="bg-BG"/>
    </w:rPr>
  </w:style>
  <w:style w:type="paragraph" w:styleId="ListParagraph">
    <w:name w:val="List Paragraph"/>
    <w:basedOn w:val="Normal"/>
    <w:link w:val="ListParagraphChar"/>
    <w:uiPriority w:val="34"/>
    <w:qFormat/>
    <w:rsid w:val="00003E3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CD0D4F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List">
    <w:name w:val="List"/>
    <w:basedOn w:val="Normal"/>
    <w:unhideWhenUsed/>
    <w:rsid w:val="00CD0D4F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2">
    <w:name w:val="List 2"/>
    <w:basedOn w:val="Normal"/>
    <w:uiPriority w:val="99"/>
    <w:semiHidden/>
    <w:unhideWhenUsed/>
    <w:rsid w:val="00CD0D4F"/>
    <w:pPr>
      <w:ind w:left="566" w:hanging="283"/>
      <w:contextualSpacing/>
    </w:pPr>
    <w:rPr>
      <w:rFonts w:ascii="Hebar" w:hAnsi="Hebar"/>
      <w:sz w:val="24"/>
      <w:lang w:val="en-GB" w:eastAsia="en-US"/>
    </w:rPr>
  </w:style>
  <w:style w:type="paragraph" w:styleId="ListContinue">
    <w:name w:val="List Continue"/>
    <w:basedOn w:val="Normal"/>
    <w:uiPriority w:val="99"/>
    <w:semiHidden/>
    <w:unhideWhenUsed/>
    <w:rsid w:val="00CD0D4F"/>
    <w:pPr>
      <w:spacing w:after="120"/>
      <w:ind w:left="283"/>
      <w:contextualSpacing/>
    </w:pPr>
    <w:rPr>
      <w:rFonts w:ascii="Hebar" w:hAnsi="Hebar"/>
      <w:sz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8F2483"/>
    <w:rPr>
      <w:rFonts w:ascii="Arial" w:eastAsia="Times New Roman" w:hAnsi="Arial" w:cs="Times New Roman"/>
      <w:sz w:val="20"/>
      <w:szCs w:val="20"/>
      <w:lang w:eastAsia="bg-BG"/>
    </w:rPr>
  </w:style>
  <w:style w:type="paragraph" w:customStyle="1" w:styleId="Style11">
    <w:name w:val="Style11"/>
    <w:basedOn w:val="Normal"/>
    <w:uiPriority w:val="99"/>
    <w:rsid w:val="00CD4966"/>
    <w:pPr>
      <w:widowControl w:val="0"/>
      <w:autoSpaceDE w:val="0"/>
      <w:autoSpaceDN w:val="0"/>
      <w:adjustRightInd w:val="0"/>
      <w:spacing w:line="254" w:lineRule="exact"/>
      <w:jc w:val="both"/>
    </w:pPr>
    <w:rPr>
      <w:rFonts w:cs="Arial"/>
      <w:sz w:val="24"/>
      <w:szCs w:val="24"/>
    </w:rPr>
  </w:style>
  <w:style w:type="character" w:customStyle="1" w:styleId="FontStyle44">
    <w:name w:val="Font Style44"/>
    <w:uiPriority w:val="99"/>
    <w:rsid w:val="00CD4966"/>
    <w:rPr>
      <w:rFonts w:ascii="Arial" w:hAnsi="Arial" w:cs="Arial" w:hint="default"/>
      <w:color w:val="000000"/>
      <w:sz w:val="20"/>
      <w:szCs w:val="20"/>
    </w:rPr>
  </w:style>
  <w:style w:type="character" w:customStyle="1" w:styleId="st">
    <w:name w:val="st"/>
    <w:basedOn w:val="DefaultParagraphFont"/>
    <w:rsid w:val="0013316F"/>
  </w:style>
  <w:style w:type="character" w:styleId="Emphasis">
    <w:name w:val="Emphasis"/>
    <w:basedOn w:val="DefaultParagraphFont"/>
    <w:uiPriority w:val="20"/>
    <w:qFormat/>
    <w:rsid w:val="0013316F"/>
    <w:rPr>
      <w:i/>
      <w:iCs/>
    </w:rPr>
  </w:style>
  <w:style w:type="paragraph" w:styleId="BodyText2">
    <w:name w:val="Body Text 2"/>
    <w:basedOn w:val="Normal"/>
    <w:link w:val="BodyText2Char"/>
    <w:rsid w:val="0013316F"/>
    <w:pPr>
      <w:spacing w:after="120" w:line="480" w:lineRule="auto"/>
    </w:pPr>
    <w:rPr>
      <w:rFonts w:ascii="Hebar" w:hAnsi="Hebar"/>
      <w:sz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13316F"/>
    <w:rPr>
      <w:rFonts w:ascii="Hebar" w:eastAsia="Times New Roman" w:hAnsi="Hebar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13"/>
    <w:rPr>
      <w:rFonts w:ascii="Segoe UI" w:eastAsia="Times New Roman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D7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D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D24"/>
    <w:rPr>
      <w:rFonts w:ascii="Arial" w:eastAsia="Times New Roman" w:hAnsi="Arial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D24"/>
    <w:rPr>
      <w:rFonts w:ascii="Arial" w:eastAsia="Times New Roman" w:hAnsi="Arial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9E7C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table" w:styleId="TableGrid">
    <w:name w:val="Table Grid"/>
    <w:basedOn w:val="TableNormal"/>
    <w:uiPriority w:val="39"/>
    <w:rsid w:val="0024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228C-1066-4B13-92CB-0109D555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Mileva</dc:creator>
  <cp:keywords/>
  <dc:description/>
  <cp:lastModifiedBy>Gabriela Borisova</cp:lastModifiedBy>
  <cp:revision>3</cp:revision>
  <cp:lastPrinted>2022-08-04T06:55:00Z</cp:lastPrinted>
  <dcterms:created xsi:type="dcterms:W3CDTF">2023-08-10T04:52:00Z</dcterms:created>
  <dcterms:modified xsi:type="dcterms:W3CDTF">2023-08-10T04:58:00Z</dcterms:modified>
</cp:coreProperties>
</file>